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318" w:type="dxa"/>
        <w:tblLook w:val="01E0" w:firstRow="1" w:lastRow="1" w:firstColumn="1" w:lastColumn="1" w:noHBand="0" w:noVBand="0"/>
      </w:tblPr>
      <w:tblGrid>
        <w:gridCol w:w="4679"/>
        <w:gridCol w:w="5386"/>
      </w:tblGrid>
      <w:tr>
        <w:trPr>
          <w:trHeight w:val="1261"/>
        </w:trPr>
        <w:tc>
          <w:tcPr>
            <w:tcW w:w="4679" w:type="dxa"/>
            <w:hideMark/>
          </w:tcPr>
          <w:p>
            <w:pPr>
              <w:spacing w:after="0" w:line="22" w:lineRule="atLeast"/>
              <w:jc w:val="center"/>
              <w:rPr>
                <w:rFonts w:eastAsia="Times New Roman"/>
                <w:sz w:val="26"/>
                <w:szCs w:val="26"/>
                <w:lang w:eastAsia="en-US"/>
              </w:rPr>
            </w:pPr>
            <w:r>
              <w:rPr>
                <w:rFonts w:eastAsia="Times New Roman"/>
                <w:sz w:val="26"/>
                <w:szCs w:val="26"/>
                <w:lang w:eastAsia="en-US"/>
              </w:rPr>
              <w:t xml:space="preserve"> ĐẢNG ỦY ỦY BAN NHÂN DÂN TỈNH</w:t>
            </w:r>
          </w:p>
          <w:p>
            <w:pPr>
              <w:spacing w:after="0" w:line="22" w:lineRule="atLeast"/>
              <w:rPr>
                <w:rFonts w:eastAsia="Times New Roman"/>
                <w:sz w:val="26"/>
                <w:szCs w:val="26"/>
                <w:lang w:eastAsia="en-US"/>
              </w:rPr>
            </w:pPr>
            <w:r>
              <w:rPr>
                <w:rFonts w:eastAsia="Times New Roman"/>
                <w:b/>
                <w:sz w:val="26"/>
                <w:szCs w:val="26"/>
                <w:lang w:eastAsia="en-US"/>
              </w:rPr>
              <w:t xml:space="preserve">                CHI BỘ SỞ NGOẠI VỤ</w:t>
            </w:r>
          </w:p>
          <w:p>
            <w:pPr>
              <w:spacing w:after="0" w:line="22" w:lineRule="atLeast"/>
              <w:jc w:val="center"/>
              <w:rPr>
                <w:rFonts w:eastAsia="Times New Roman"/>
                <w:noProof/>
                <w:sz w:val="24"/>
                <w:szCs w:val="24"/>
                <w:lang w:eastAsia="en-US"/>
              </w:rPr>
            </w:pPr>
            <w:r>
              <w:rPr>
                <w:rFonts w:eastAsia="Times New Roman"/>
                <w:noProof/>
                <w:sz w:val="24"/>
                <w:szCs w:val="24"/>
                <w:lang w:eastAsia="en-US"/>
              </w:rPr>
              <w:t>*</w:t>
            </w:r>
          </w:p>
          <w:p>
            <w:pPr>
              <w:spacing w:after="0" w:line="22" w:lineRule="atLeast"/>
              <w:ind w:hanging="249"/>
              <w:rPr>
                <w:rFonts w:eastAsia="Times New Roman"/>
                <w:b/>
                <w:bCs/>
                <w:sz w:val="26"/>
                <w:szCs w:val="26"/>
                <w:lang w:eastAsia="en-US"/>
              </w:rPr>
            </w:pPr>
            <w:r>
              <w:rPr>
                <w:rFonts w:eastAsia="Times New Roman"/>
                <w:b/>
                <w:bCs/>
                <w:sz w:val="26"/>
                <w:szCs w:val="26"/>
                <w:lang w:eastAsia="en-US"/>
              </w:rPr>
              <w:t xml:space="preserve"> </w:t>
            </w:r>
          </w:p>
        </w:tc>
        <w:tc>
          <w:tcPr>
            <w:tcW w:w="5386" w:type="dxa"/>
          </w:tcPr>
          <w:p>
            <w:pPr>
              <w:spacing w:after="0" w:line="22" w:lineRule="atLeast"/>
              <w:jc w:val="right"/>
              <w:rPr>
                <w:rFonts w:eastAsia="Times New Roman"/>
                <w:b/>
                <w:szCs w:val="26"/>
                <w:lang w:eastAsia="en-US"/>
              </w:rPr>
            </w:pPr>
            <w:r>
              <w:rPr>
                <w:rFonts w:eastAsia="Times New Roman"/>
                <w:b/>
                <w:szCs w:val="26"/>
                <w:lang w:eastAsia="en-US"/>
              </w:rPr>
              <w:t>ĐẢNG CỘNG SẢN VIỆT NAM</w:t>
            </w:r>
          </w:p>
          <w:p>
            <w:pPr>
              <w:spacing w:after="0" w:line="22" w:lineRule="atLeast"/>
              <w:ind w:firstLineChars="601" w:firstLine="1442"/>
              <w:jc w:val="right"/>
              <w:rPr>
                <w:rFonts w:eastAsia="Times New Roman"/>
                <w:sz w:val="16"/>
                <w:szCs w:val="16"/>
                <w:lang w:eastAsia="en-US"/>
              </w:rPr>
            </w:pPr>
            <w:r>
              <w:rPr>
                <w:rFonts w:eastAsia="Times New Roman"/>
                <w:noProof/>
                <w:sz w:val="24"/>
                <w:szCs w:val="24"/>
                <w:lang w:eastAsia="en-US"/>
              </w:rPr>
              <mc:AlternateContent>
                <mc:Choice Requires="wps">
                  <w:drawing>
                    <wp:anchor distT="4294967294" distB="4294967294" distL="114300" distR="114300" simplePos="0" relativeHeight="251659264" behindDoc="0" locked="0" layoutInCell="1" allowOverlap="1">
                      <wp:simplePos x="0" y="0"/>
                      <wp:positionH relativeFrom="column">
                        <wp:posOffset>910590</wp:posOffset>
                      </wp:positionH>
                      <wp:positionV relativeFrom="paragraph">
                        <wp:posOffset>31115</wp:posOffset>
                      </wp:positionV>
                      <wp:extent cx="2361123"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112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1.7pt,2.45pt" to="257.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"/>
                  </w:pict>
                </mc:Fallback>
              </mc:AlternateContent>
            </w:r>
          </w:p>
          <w:p>
            <w:pPr>
              <w:spacing w:after="0" w:line="22" w:lineRule="atLeast"/>
              <w:jc w:val="right"/>
              <w:rPr>
                <w:rFonts w:eastAsia="Times New Roman"/>
                <w:i/>
                <w:sz w:val="10"/>
                <w:szCs w:val="10"/>
                <w:lang w:eastAsia="en-US"/>
              </w:rPr>
            </w:pPr>
            <w:r>
              <w:rPr>
                <w:rFonts w:eastAsia="Times New Roman"/>
                <w:i/>
                <w:szCs w:val="28"/>
                <w:lang w:eastAsia="en-US"/>
              </w:rPr>
              <w:t xml:space="preserve">   </w:t>
            </w:r>
          </w:p>
          <w:p>
            <w:pPr>
              <w:spacing w:after="0" w:line="22" w:lineRule="atLeast"/>
              <w:jc w:val="right"/>
              <w:rPr>
                <w:rFonts w:eastAsia="Times New Roman"/>
                <w:sz w:val="26"/>
                <w:szCs w:val="26"/>
                <w:lang w:eastAsia="en-US"/>
              </w:rPr>
            </w:pPr>
            <w:r>
              <w:rPr>
                <w:rFonts w:eastAsia="Times New Roman"/>
                <w:i/>
                <w:szCs w:val="28"/>
                <w:lang w:eastAsia="en-US"/>
              </w:rPr>
              <w:t xml:space="preserve">       Hà Tĩnh, ngày 08 tháng 01 năm 2026</w:t>
            </w:r>
          </w:p>
        </w:tc>
      </w:tr>
    </w:tbl>
    <w:p>
      <w:pPr>
        <w:tabs>
          <w:tab w:val="left" w:pos="1965"/>
          <w:tab w:val="left" w:pos="2055"/>
          <w:tab w:val="center" w:pos="4536"/>
        </w:tabs>
        <w:spacing w:after="0" w:line="240" w:lineRule="auto"/>
        <w:rPr>
          <w:rFonts w:eastAsia="Times New Roman"/>
          <w:b/>
          <w:bCs/>
          <w:szCs w:val="28"/>
          <w:lang w:eastAsia="en-US"/>
        </w:rPr>
      </w:pPr>
      <w:r>
        <w:rPr>
          <w:rFonts w:eastAsia="Times New Roman"/>
          <w:b/>
          <w:bCs/>
          <w:szCs w:val="28"/>
          <w:lang w:eastAsia="en-US"/>
        </w:rPr>
        <w:t xml:space="preserve">                                       DỰ THẢO</w:t>
      </w:r>
    </w:p>
    <w:p>
      <w:pPr>
        <w:tabs>
          <w:tab w:val="left" w:pos="1965"/>
          <w:tab w:val="left" w:pos="2055"/>
          <w:tab w:val="center" w:pos="4536"/>
        </w:tabs>
        <w:spacing w:after="0" w:line="240" w:lineRule="auto"/>
        <w:jc w:val="center"/>
        <w:rPr>
          <w:rFonts w:eastAsia="Times New Roman"/>
          <w:b/>
          <w:bCs/>
          <w:sz w:val="26"/>
          <w:szCs w:val="28"/>
          <w:lang w:eastAsia="en-US"/>
        </w:rPr>
      </w:pPr>
      <w:r>
        <w:rPr>
          <w:rFonts w:eastAsia="Times New Roman"/>
          <w:b/>
          <w:bCs/>
          <w:szCs w:val="28"/>
          <w:lang w:eastAsia="en-US"/>
        </w:rPr>
        <w:t>BÁO CÁO</w:t>
      </w:r>
    </w:p>
    <w:p>
      <w:pPr>
        <w:tabs>
          <w:tab w:val="center" w:pos="4536"/>
          <w:tab w:val="left" w:pos="7965"/>
        </w:tabs>
        <w:spacing w:after="0" w:line="240" w:lineRule="auto"/>
        <w:jc w:val="center"/>
        <w:rPr>
          <w:rFonts w:eastAsia="Times New Roman"/>
          <w:b/>
          <w:bCs/>
          <w:szCs w:val="28"/>
          <w:lang w:eastAsia="en-US"/>
        </w:rPr>
      </w:pPr>
      <w:r>
        <w:rPr>
          <w:rFonts w:eastAsia="Times New Roman"/>
          <w:b/>
          <w:bCs/>
          <w:szCs w:val="28"/>
          <w:lang w:eastAsia="en-US"/>
        </w:rPr>
        <w:t xml:space="preserve">  Kết quả công tác xây dựng Đảng và thực hiện nhiệm vụ chính trị năm 2025, triển khai nhiệm vụ năm 2026</w:t>
      </w:r>
    </w:p>
    <w:p>
      <w:pPr>
        <w:tabs>
          <w:tab w:val="center" w:pos="4536"/>
          <w:tab w:val="left" w:pos="7965"/>
        </w:tabs>
        <w:spacing w:after="0" w:line="240" w:lineRule="auto"/>
        <w:jc w:val="center"/>
        <w:rPr>
          <w:rFonts w:eastAsia="Times New Roman"/>
          <w:b/>
          <w:bCs/>
          <w:i/>
          <w:szCs w:val="28"/>
          <w:lang w:eastAsia="en-US"/>
        </w:rPr>
      </w:pPr>
      <w:r>
        <w:rPr>
          <w:rFonts w:eastAsia="Times New Roman"/>
          <w:b/>
          <w:bCs/>
          <w:i/>
          <w:szCs w:val="28"/>
          <w:lang w:eastAsia="en-US"/>
        </w:rPr>
        <w:t>(Tài liệu họp tổng kết tại cơ quan)</w:t>
      </w:r>
    </w:p>
    <w:p>
      <w:pPr>
        <w:widowControl w:val="0"/>
        <w:spacing w:before="120" w:after="120" w:line="240" w:lineRule="auto"/>
        <w:ind w:firstLine="720"/>
        <w:jc w:val="both"/>
        <w:rPr>
          <w:rFonts w:eastAsia="Calibri"/>
          <w:sz w:val="2"/>
          <w:szCs w:val="28"/>
          <w:lang w:eastAsia="en-US"/>
        </w:rPr>
      </w:pPr>
      <w:r>
        <w:rPr>
          <w:rFonts w:eastAsia="Times New Roman"/>
          <w:b/>
          <w:bCs/>
          <w:noProof/>
          <w:szCs w:val="28"/>
          <w:lang w:eastAsia="en-US"/>
        </w:rPr>
        <mc:AlternateContent>
          <mc:Choice Requires="wps">
            <w:drawing>
              <wp:anchor distT="0" distB="0" distL="114300" distR="114300" simplePos="0" relativeHeight="251660288" behindDoc="0" locked="0" layoutInCell="1" allowOverlap="1">
                <wp:simplePos x="0" y="0"/>
                <wp:positionH relativeFrom="page">
                  <wp:posOffset>3470275</wp:posOffset>
                </wp:positionH>
                <wp:positionV relativeFrom="paragraph">
                  <wp:posOffset>100965</wp:posOffset>
                </wp:positionV>
                <wp:extent cx="124777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24777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273.25pt,7.95pt" to="371.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" strokecolor="windowText">
                <w10:wrap anchorx="page"/>
              </v:line>
            </w:pict>
          </mc:Fallback>
        </mc:AlternateContent>
      </w:r>
    </w:p>
    <w:p>
      <w:pPr>
        <w:widowControl w:val="0"/>
        <w:spacing w:before="120" w:after="120" w:line="240" w:lineRule="auto"/>
        <w:ind w:firstLine="720"/>
        <w:jc w:val="both"/>
        <w:rPr>
          <w:rFonts w:eastAsia="Calibri"/>
          <w:szCs w:val="28"/>
          <w:lang w:eastAsia="en-US"/>
        </w:rPr>
      </w:pPr>
    </w:p>
    <w:p>
      <w:pPr>
        <w:spacing w:before="120" w:after="120" w:line="240" w:lineRule="auto"/>
        <w:ind w:firstLine="720"/>
        <w:jc w:val="both"/>
        <w:rPr>
          <w:szCs w:val="28"/>
        </w:rPr>
      </w:pPr>
      <w:r>
        <w:rPr>
          <w:szCs w:val="28"/>
        </w:rPr>
        <w:t>Năm 2025 có ý nghĩa đặc biệt quan trọng, là năm cuối thực hiện Kế hoạch phát triển kinh tế - xã hội 5 năm 2021 - 2025, thực hiện cuộc cách mạng về tinh gọn tổ chức bộ máy, đại hội đảng các cấp, Đại hội đại biểu Đảng bộ tỉnh lần thứ XX, tiến tới Đại hội đại biểu toàn quốc lần thứ XIV của Đảng. Bối cảnh tình hình thế giới, trong nước tiếp tục chuyển biến nhanh, khó lường, thời cơ, thách thức đan xen. Bám sát chỉ đạo, định hướng công tác đối ngoại của Trung ương, Bộ Ngoại giao và sự lãnh đạo, chỉ đạo của Tỉnh ủy, Ủy ban nhân dân tỉnh, cấp ủy Sở Ngoại vụ chỉ đạo chuyên môn tham mưu triển khai công tác đối ngoại đồng bộ, toàn diện, thích ứng năng động, tranh thủ tối đa các nguồn lực bên ngoài; tiếp tục mở rộng hợp tác, hội nhập quốc tế, củng cố, thắt chặt mối quan hệ truyền thống, đoàn kết đặc biệt và hợp tác toàn diện với các địa phương của nước Cộng hòa dân chủ nhân dân Lào; mở rộng hợp tác với các cơ quan ngoại giao, các tổ chức quốc tế tại Việt Nam; tập trung triển khai công tác ngoại giao kinh tế, ngoại giao chính trị, đẩy mạnh thông tin đối ngoại và ngoại giao văn hóa; xử lý tốt công tác lãnh sự, bảo hộ công dân, quản lý đoàn ra - đoàn vào; đảm bảo an ninh biên giới; quản lý hoạt động của doanh nghiệp, cá nhân có yếu tố nước ngoài trên địa bàn tỉnh… góp phần quan trọng phát triển kinh tế, xã hội, nâng cao vị thế của Tỉnh.</w:t>
      </w:r>
    </w:p>
    <w:p>
      <w:pPr>
        <w:spacing w:before="120" w:after="120" w:line="240" w:lineRule="auto"/>
        <w:ind w:firstLine="720"/>
        <w:jc w:val="both"/>
        <w:rPr>
          <w:rFonts w:eastAsia="Calibri"/>
          <w:b/>
          <w:szCs w:val="28"/>
          <w:lang w:eastAsia="en-US"/>
        </w:rPr>
      </w:pPr>
      <w:r>
        <w:rPr>
          <w:rFonts w:eastAsia="Calibri"/>
          <w:b/>
          <w:szCs w:val="28"/>
          <w:lang w:eastAsia="en-US"/>
        </w:rPr>
        <w:t>A. KẾT QUẢ ĐẠT ĐƯỢC</w:t>
      </w:r>
    </w:p>
    <w:p>
      <w:pPr>
        <w:pStyle w:val="Heading1"/>
        <w:spacing w:before="120" w:after="120" w:line="240" w:lineRule="auto"/>
      </w:pPr>
      <w:r>
        <w:t xml:space="preserve">I. LÃNH ĐẠO CÔNG TÁC XÂY DỰNG ĐẢNG VÀ CÁC TỔ CHỨC ĐOÀN THỂ </w:t>
      </w:r>
    </w:p>
    <w:p>
      <w:pPr>
        <w:pStyle w:val="Heading2"/>
        <w:spacing w:before="120" w:after="120" w:line="240" w:lineRule="auto"/>
      </w:pPr>
      <w:r>
        <w:t>1. Công tác giáo dục chính trị, tư tưởng</w:t>
      </w:r>
    </w:p>
    <w:p>
      <w:pPr>
        <w:spacing w:before="120" w:after="120" w:line="240" w:lineRule="auto"/>
        <w:ind w:firstLine="720"/>
        <w:jc w:val="both"/>
        <w:rPr>
          <w:lang w:eastAsia="en-US"/>
        </w:rPr>
      </w:pPr>
      <w:r>
        <w:rPr>
          <w:lang w:eastAsia="en-US"/>
        </w:rPr>
        <w:t>- Chi bộ tập trung tuyên truyền, chào mừng ngày lễ lớn của Đảng, Quê hương, Đất nước. Tuyên truyền</w:t>
      </w:r>
      <w:r>
        <w:rPr>
          <w:rFonts w:eastAsia="Times New Roman"/>
          <w:szCs w:val="28"/>
          <w:lang w:eastAsia="en-US"/>
        </w:rPr>
        <w:t xml:space="preserve"> </w:t>
      </w:r>
      <w:r>
        <w:rPr>
          <w:lang w:eastAsia="en-US"/>
        </w:rPr>
        <w:t xml:space="preserve">kết quả Đại hội Đảng bộ UBND tỉnh lần thứ I, nhiệm kỳ 2025-2030, Đại hội đại biểu Đảng bộ tỉnh lần thứ XX, tiến tới Đại hội đại biểu toàn quốc lần thứ XIV; </w:t>
      </w:r>
      <w:r>
        <w:rPr>
          <w:szCs w:val="28"/>
        </w:rPr>
        <w:t>các văn bản chỉ đạo của Trung ương, của tỉnh về việc thực hiện mô hình chính quyền địa phương 2 cấp.</w:t>
      </w:r>
    </w:p>
    <w:p>
      <w:pPr>
        <w:spacing w:before="120" w:after="120" w:line="240" w:lineRule="auto"/>
        <w:ind w:firstLine="720"/>
        <w:jc w:val="both"/>
        <w:rPr>
          <w:szCs w:val="28"/>
          <w:lang w:eastAsia="en-US"/>
        </w:rPr>
      </w:pPr>
      <w:r>
        <w:rPr>
          <w:lang w:eastAsia="en-US"/>
        </w:rPr>
        <w:t xml:space="preserve">- Tổ chức cho 100% đảng viên tham gia </w:t>
      </w:r>
      <w:r>
        <w:rPr>
          <w:szCs w:val="28"/>
          <w:lang w:val="nb-NO" w:eastAsia="en-US"/>
        </w:rPr>
        <w:t>Hội nghị trực tuyến toàn quốc về học tập, quán triệt, triển khai thực hiện Nghị quyết Hội nghị lần thứ 11 Ban Chấp hành Trung ương Đảng khóa XIII;</w:t>
      </w:r>
      <w:r>
        <w:rPr>
          <w:rFonts w:eastAsia="Times New Roman"/>
          <w:szCs w:val="28"/>
          <w:lang w:eastAsia="en-US"/>
        </w:rPr>
        <w:t xml:space="preserve"> </w:t>
      </w:r>
      <w:r>
        <w:rPr>
          <w:szCs w:val="28"/>
          <w:lang w:eastAsia="en-US"/>
        </w:rPr>
        <w:t xml:space="preserve">Hội nghị nghiên cứu, học tập, quán triệt, tuyên truyền và </w:t>
      </w:r>
      <w:r>
        <w:rPr>
          <w:szCs w:val="28"/>
          <w:lang w:eastAsia="en-US"/>
        </w:rPr>
        <w:lastRenderedPageBreak/>
        <w:t xml:space="preserve">triển khai thực hiện Nghị quyết Đại hội đại biểu Đảng bộ tỉnh lần thứ XX, nhiệm kỳ 2025 - 2030. </w:t>
      </w:r>
    </w:p>
    <w:p>
      <w:pPr>
        <w:spacing w:before="120" w:after="120" w:line="240" w:lineRule="auto"/>
        <w:ind w:firstLine="720"/>
        <w:jc w:val="both"/>
        <w:rPr>
          <w:lang w:eastAsia="en-US"/>
        </w:rPr>
      </w:pPr>
      <w:r>
        <w:rPr>
          <w:lang w:val="nb-NO" w:eastAsia="en-US"/>
        </w:rPr>
        <w:t xml:space="preserve">- Tiếp tục thực hiện Nghị quyết số 09-NQ/TU ngày 19/5/2018 của BCH Đảng bộ tỉnh về tiếp tục đổi mới, nâng cao chất lượng, hiệu quả công tác tuyên giáo trong tình hình mới. </w:t>
      </w:r>
      <w:r>
        <w:rPr>
          <w:lang w:eastAsia="en-US"/>
        </w:rPr>
        <w:t xml:space="preserve">Tổ chức sinh hoạt chuyên đề theo kế hoạch đề ra trong năm 2025. </w:t>
      </w:r>
    </w:p>
    <w:p>
      <w:pPr>
        <w:spacing w:before="120" w:after="120" w:line="240" w:lineRule="auto"/>
        <w:ind w:firstLine="720"/>
        <w:jc w:val="both"/>
        <w:rPr>
          <w:lang w:val="nb-NO" w:eastAsia="en-US"/>
        </w:rPr>
      </w:pPr>
      <w:r>
        <w:rPr>
          <w:lang w:val="nb-NO" w:eastAsia="en-US"/>
        </w:rPr>
        <w:t>- Thường xuyên quán triệt các quy định về trách nhiệm nêu gương của cán bộ, đảng viên, Quy định số 144-QĐ/TW ngày 09/5/2024 của Bộ Chính trị về chuẩn mực đạo đức cách mạng của cán bộ, đảng viên. Triển khai quyết liệt, có hiệu quả Nghị quyết số 57-NQ/TW ngày 22/12/2024 của Bộ Chính trị về đột phá phát triển khoa học công nghệ, đổi mới sáng tạo và chuyển đổi số quốc gia; Nghị quyết số 59-NQ/TW ngày 24/01/2025 của Bộ Chính trị về hội nhập quốc tế trong tình hình mới; Nghị quyết số 66-NQ/TW ngày 30/4/2025 của Bộ Chính trị về đổi mới công tác xây dựng và thi hành pháp luật đáp ứng yêu cầu phát triển đất nước trong kỷ nguyên mới; Nghị quyết số 68-NQ/TW ngày 04/5/2025 của Bộ Chính trị về phát triển kinh tế tư nhân.</w:t>
      </w:r>
      <w:r>
        <w:rPr>
          <w:lang w:val="nb-NO" w:eastAsia="en-US"/>
        </w:rPr>
        <w:tab/>
      </w:r>
    </w:p>
    <w:p>
      <w:pPr>
        <w:spacing w:before="120" w:after="120" w:line="240" w:lineRule="auto"/>
        <w:ind w:firstLine="720"/>
        <w:jc w:val="both"/>
        <w:rPr>
          <w:lang w:val="nb-NO" w:eastAsia="en-US"/>
        </w:rPr>
      </w:pPr>
      <w:r>
        <w:rPr>
          <w:lang w:val="nb-NO" w:eastAsia="en-US"/>
        </w:rPr>
        <w:t xml:space="preserve">- Tiếp tục chỉ đạo đảng viên, quần chúng thực hiện Kết luận Hội nghị lần thứ 4, Ban Chấp hành Trung ương Đảng khoá XIII về đẩy mạnh xây dựng, chỉnh đốn Đảng và hệ thống chính trị. </w:t>
      </w:r>
      <w:r>
        <w:rPr>
          <w:szCs w:val="28"/>
          <w:lang w:val="nb-NO" w:eastAsia="en-US"/>
        </w:rPr>
        <w:t xml:space="preserve">Tiếp tục thực </w:t>
      </w:r>
      <w:r>
        <w:rPr>
          <w:lang w:val="nb-NO" w:eastAsia="en-US"/>
        </w:rPr>
        <w:t xml:space="preserve">hiện các Nghị quyết số 18-NQ/TW ngày 25/10/2017 về của BCH TW Đảng </w:t>
      </w:r>
      <w:bookmarkStart w:id="0" w:name="loai_1_name_name"/>
      <w:r>
        <w:rPr>
          <w:lang w:eastAsia="en-US"/>
        </w:rPr>
        <w:t>một số vấn đề về tiếp tục đổi mới, sắp xếp tổ chức bộ máy của hệ thống chính trị tinh gọn, hoạt động hiệu lực, hiệu quả</w:t>
      </w:r>
      <w:bookmarkEnd w:id="0"/>
      <w:r>
        <w:rPr>
          <w:lang w:val="nb-NO" w:eastAsia="en-US"/>
        </w:rPr>
        <w:t xml:space="preserve"> và các văn bản liên quan.</w:t>
      </w:r>
    </w:p>
    <w:p>
      <w:pPr>
        <w:spacing w:before="120" w:after="120" w:line="240" w:lineRule="auto"/>
        <w:ind w:firstLine="720"/>
        <w:jc w:val="both"/>
        <w:rPr>
          <w:lang w:val="nb-NO" w:eastAsia="en-US"/>
        </w:rPr>
      </w:pPr>
      <w:r>
        <w:rPr>
          <w:rFonts w:eastAsia="Times New Roman"/>
          <w:szCs w:val="28"/>
          <w:lang w:val="nb-NO" w:eastAsia="en-US"/>
        </w:rPr>
        <w:t>- Tuyên truyền, quán triệt, triển khai kịp thời các nghị quyết của Đảng, chính sách, pháp luật của Nhà nước và các</w:t>
      </w:r>
      <w:r>
        <w:rPr>
          <w:lang w:eastAsia="en-US"/>
        </w:rPr>
        <w:t xml:space="preserve"> nhiệm vụ của cơ quan để đảng viên và quần chúng nắm vững chủ trương, đường lối, từ đó đấu tranh, phản bác chống lại các quan điểm sai trái, cơ hội, thực dụng, cục bộ, bản vị, những hành vi nói, viết và làm trái với đường lối, chính sách của Đảng, pháp luật của Nhà nước; phòng, chống sự suy thoái về phẩm chất, đạo đức, lối sống của cán bộ, đảng viên; phòng, chống tham nhũng, tiêu cực. </w:t>
      </w:r>
      <w:r>
        <w:rPr>
          <w:lang w:val="nb-NO" w:eastAsia="en-US"/>
        </w:rPr>
        <w:t>Chủ động nắm tình hình tư tưởng, dư luận xã hội, kịp thời phản ánh và định hướng dư luận xã hội trước những vấn đề phức tạp, nhạy cảm. Khuyến khích cán bộ, đảng viên viết các tin, bài về người tốt việc tốt, chia sẻ kinh nghiệm cách làm hay về các nội dung xây dựng Đảng, hoạt động chuyên môn.</w:t>
      </w:r>
    </w:p>
    <w:p>
      <w:pPr>
        <w:spacing w:before="120" w:after="120" w:line="240" w:lineRule="auto"/>
        <w:ind w:firstLine="720"/>
        <w:jc w:val="both"/>
        <w:rPr>
          <w:lang w:val="nb-NO" w:eastAsia="en-US"/>
        </w:rPr>
      </w:pPr>
      <w:r>
        <w:rPr>
          <w:lang w:eastAsia="en-US"/>
        </w:rPr>
        <w:t xml:space="preserve">- Thực hiện tốt tổ chức chào cờ đầu tháng, tuyên truyền thông tin tư tưởng; thời sự quốc tế; chính sách đối ngoại đến toàn thể đảng viên và quần chúng. </w:t>
      </w:r>
    </w:p>
    <w:p>
      <w:pPr>
        <w:pStyle w:val="Heading2"/>
        <w:spacing w:before="120" w:after="120" w:line="240" w:lineRule="auto"/>
      </w:pPr>
      <w:r>
        <w:t xml:space="preserve">2. Công tác tổ chức, cán bộ và đảng viên </w:t>
      </w:r>
    </w:p>
    <w:p>
      <w:pPr>
        <w:pStyle w:val="Heading3"/>
        <w:spacing w:before="120" w:after="120" w:line="240" w:lineRule="auto"/>
      </w:pPr>
      <w:r>
        <w:t>2.1. Công tác tổ chức</w:t>
      </w:r>
    </w:p>
    <w:p>
      <w:pPr>
        <w:spacing w:before="120" w:after="120" w:line="240" w:lineRule="auto"/>
        <w:ind w:firstLine="720"/>
        <w:jc w:val="both"/>
        <w:rPr>
          <w:lang w:eastAsia="en-US"/>
        </w:rPr>
      </w:pPr>
      <w:r>
        <w:rPr>
          <w:lang w:eastAsia="en-US"/>
        </w:rPr>
        <w:t xml:space="preserve">Sau khi </w:t>
      </w:r>
      <w:r>
        <w:rPr>
          <w:bCs/>
          <w:color w:val="000000"/>
        </w:rPr>
        <w:t xml:space="preserve">thực hiện chính quyền địa phương 2 cấp và thực hiện tổ chức bộ máy tại </w:t>
      </w:r>
      <w:r>
        <w:rPr>
          <w:szCs w:val="28"/>
          <w:lang w:val="af-ZA"/>
        </w:rPr>
        <w:t>Quyết định số 3011/QĐ-UBND ngày 02/12/2025</w:t>
      </w:r>
      <w:r>
        <w:rPr>
          <w:spacing w:val="-4"/>
          <w:szCs w:val="28"/>
          <w:lang w:val="af-ZA"/>
        </w:rPr>
        <w:t xml:space="preserve"> Quy định chức năng, nhiệm vụ, quyền hạn và cơ cấu tổ chức của Sở Ngoại, Chi bộ Sở Ngoại vụ kiện toàn các tổ đảng, phân công nhiệm vụ trong Cấp ủy và tổ chức thực hiện nhiệm vụ theo Kế hoạch.</w:t>
      </w:r>
      <w:r>
        <w:rPr>
          <w:lang w:eastAsia="en-US"/>
        </w:rPr>
        <w:t xml:space="preserve"> </w:t>
      </w:r>
    </w:p>
    <w:p>
      <w:pPr>
        <w:spacing w:before="120" w:after="120" w:line="240" w:lineRule="auto"/>
        <w:ind w:firstLine="720"/>
        <w:jc w:val="both"/>
      </w:pPr>
      <w:r>
        <w:rPr>
          <w:lang w:eastAsia="en-US"/>
        </w:rPr>
        <w:lastRenderedPageBreak/>
        <w:t>- Chỉ đạo thành công Đại hội Chi bộ nhiệm kỳ 2025-2030</w:t>
      </w:r>
      <w:r>
        <w:rPr>
          <w:bCs/>
        </w:rPr>
        <w:t>; ban hành Nghị quyết Chi bộ nhiệm kỳ</w:t>
      </w:r>
      <w:r>
        <w:t xml:space="preserve">; </w:t>
      </w:r>
      <w:r>
        <w:rPr>
          <w:lang w:eastAsia="en-US"/>
        </w:rPr>
        <w:t xml:space="preserve">xây dựng và thực hiện Chương trình công tác toàn khóa, quy chế làm việc của Chi bộ nhiệm kỳ 2025-2030. Đánh giá việc thực hiện Kế hoạch học tập làm theo tư tưởng, đạo đức, phong cách Hồ Chí Minh 6 tháng đầu năm 2025, cả năm 2025 theo quy định. </w:t>
      </w:r>
    </w:p>
    <w:p>
      <w:pPr>
        <w:spacing w:before="120" w:after="120" w:line="240" w:lineRule="auto"/>
        <w:ind w:firstLine="720"/>
        <w:jc w:val="both"/>
        <w:rPr>
          <w:lang w:eastAsia="en-US"/>
        </w:rPr>
      </w:pPr>
      <w:r>
        <w:rPr>
          <w:lang w:eastAsia="en-US"/>
        </w:rPr>
        <w:t>- Phân công các đồng chí trong BCH tham gia sinh hoạt tại các tổ đảng, giám sát nhằm nâng cao chất lượng sinh hoạt thường kỳ; sinh hoạt chuyên đề. Trong năm, Chi bộ tổ chức sinh hoạt theo đúng lịch, đảm bảo quy định, nội dung và chất lượng sinh hoạt ngày càng được nâng cao.</w:t>
      </w:r>
    </w:p>
    <w:p>
      <w:pPr>
        <w:spacing w:before="120" w:after="120" w:line="240" w:lineRule="auto"/>
        <w:ind w:firstLine="720"/>
        <w:jc w:val="both"/>
        <w:rPr>
          <w:lang w:eastAsia="en-US"/>
        </w:rPr>
      </w:pPr>
      <w:r>
        <w:rPr>
          <w:lang w:eastAsia="en-US"/>
        </w:rPr>
        <w:t xml:space="preserve">- Thực hiện tốt công tác bảo vệ chính trị nội bộ, nắm tình hình, tư tưởng cán bộ, đảng viên, công chức, viên chức; kịp thời giải quyết những vấn đề phát sinh, tạo sự đoàn kết thống nhất trong toàn Chi bộ. </w:t>
      </w:r>
    </w:p>
    <w:p>
      <w:pPr>
        <w:spacing w:before="120" w:after="120" w:line="240" w:lineRule="auto"/>
        <w:ind w:firstLine="720"/>
        <w:jc w:val="both"/>
        <w:rPr>
          <w:lang w:eastAsia="en-US"/>
        </w:rPr>
      </w:pPr>
      <w:r>
        <w:rPr>
          <w:lang w:eastAsia="en-US"/>
        </w:rPr>
        <w:t>- Chỉ đạo công tác kiểm điểm, đánh giá xếp loại tổ chức đảng, đảng viên cuối năm; chuẩn bị nội dung và điều kiện tổ chức tổng kết công tác xây dựng đảng của Chi</w:t>
      </w:r>
      <w:r>
        <w:rPr>
          <w:color w:val="FF0000"/>
          <w:lang w:eastAsia="en-US"/>
        </w:rPr>
        <w:t xml:space="preserve"> </w:t>
      </w:r>
      <w:r>
        <w:rPr>
          <w:lang w:eastAsia="en-US"/>
        </w:rPr>
        <w:t>bộ theo hướng dẫn của Đảng ủy Ủy ban nhân dân tỉnh và các chỉ đạo của cấp trên.</w:t>
      </w:r>
    </w:p>
    <w:p>
      <w:pPr>
        <w:pStyle w:val="Heading3"/>
        <w:spacing w:before="120" w:after="120" w:line="240" w:lineRule="auto"/>
      </w:pPr>
      <w:r>
        <w:t>2.2. Công tác cán bộ</w:t>
      </w:r>
    </w:p>
    <w:p>
      <w:pPr>
        <w:spacing w:before="120" w:after="120" w:line="240" w:lineRule="auto"/>
        <w:ind w:firstLine="720"/>
        <w:jc w:val="both"/>
        <w:rPr>
          <w:lang w:eastAsia="en-US"/>
        </w:rPr>
      </w:pPr>
      <w:r>
        <w:rPr>
          <w:lang w:eastAsia="en-US"/>
        </w:rPr>
        <w:t>- Chi bộ quan tâm chỉ đạo ban hành và thực hiện nghiêm túc quy chế, quy định về công tác cán bộ. Tổ chức thực hiện tốt công tác quy hoạch, đào tạo, bồi dưỡng, bố trí, bổ nhiệm cán bộ, đảng viên theo chỉ đạo, hướng dẫn của Đảng ủy cấp trên.</w:t>
      </w:r>
    </w:p>
    <w:p>
      <w:pPr>
        <w:spacing w:before="120" w:after="120" w:line="240" w:lineRule="auto"/>
        <w:ind w:firstLine="720"/>
        <w:jc w:val="both"/>
        <w:rPr>
          <w:lang w:eastAsia="en-US"/>
        </w:rPr>
      </w:pPr>
      <w:r>
        <w:rPr>
          <w:lang w:eastAsia="en-US"/>
        </w:rPr>
        <w:t>- Thực hiện quy trình các bước và báo cáo kết quả rà soát quy hoạch các chức danh các nhiệm kỳ 2021-2026, 2026-2030.</w:t>
      </w:r>
    </w:p>
    <w:p>
      <w:pPr>
        <w:spacing w:before="120" w:after="120" w:line="240" w:lineRule="auto"/>
        <w:ind w:firstLine="680"/>
        <w:jc w:val="both"/>
        <w:rPr>
          <w:b/>
          <w:i/>
          <w:spacing w:val="-4"/>
          <w:szCs w:val="28"/>
        </w:rPr>
      </w:pPr>
      <w:r>
        <w:rPr>
          <w:lang w:eastAsia="en-US"/>
        </w:rPr>
        <w:t>- Trong năm có 01 đồng chí tham gia lớp Cao cấp lý luận chính trị.</w:t>
      </w:r>
      <w:r>
        <w:rPr>
          <w:b/>
          <w:i/>
          <w:spacing w:val="-4"/>
          <w:szCs w:val="28"/>
        </w:rPr>
        <w:t xml:space="preserve"> </w:t>
      </w:r>
      <w:r>
        <w:rPr>
          <w:szCs w:val="28"/>
        </w:rPr>
        <w:t>Cử 02 lượt công chức tham gia tập huấn nâng cao trình độ pháp luật, phổ biến giáo dục pháp luật;</w:t>
      </w:r>
      <w:r>
        <w:rPr>
          <w:rStyle w:val="fontstyle01"/>
          <w:rFonts w:ascii="Times New Roman" w:hAnsi="Times New Roman"/>
          <w:b/>
          <w:i/>
          <w:color w:val="auto"/>
          <w:spacing w:val="-4"/>
          <w:sz w:val="28"/>
          <w:szCs w:val="28"/>
        </w:rPr>
        <w:t xml:space="preserve"> </w:t>
      </w:r>
      <w:r>
        <w:rPr>
          <w:szCs w:val="28"/>
        </w:rPr>
        <w:t>03 lượt công chức và giới thiệu lãnh đạo Sở tham gia lớp bồi dưỡng chuyển đổi số cho đối tượng Ban Chỉ đạo chuyển đổi số, cán bộ lãnh đạo, quản lý, chuyên trách công nghệ thông tin; 100% cán bộ, công chức, viên chức tham gia các lớp tập huấn về an toàn thông tin mạng, ứng phó tấn công trên môi trường mạng, tập huấn về hiệu chỉnh hồ sơ điện tử. 100% công chức, viên chức sở tham gia đào tạo nâng nghiệp vụ đối ngoại.</w:t>
      </w:r>
    </w:p>
    <w:p>
      <w:pPr>
        <w:pStyle w:val="Heading3"/>
        <w:spacing w:before="120" w:after="120" w:line="240" w:lineRule="auto"/>
      </w:pPr>
      <w:r>
        <w:t>2.3. Công tác đảng viên</w:t>
      </w:r>
    </w:p>
    <w:p>
      <w:pPr>
        <w:spacing w:before="120" w:after="120" w:line="240" w:lineRule="auto"/>
        <w:ind w:firstLine="720"/>
        <w:jc w:val="both"/>
        <w:rPr>
          <w:lang w:eastAsia="en-US"/>
        </w:rPr>
      </w:pPr>
      <w:r>
        <w:rPr>
          <w:lang w:eastAsia="en-US"/>
        </w:rPr>
        <w:t xml:space="preserve">Cấp ủy luôn quan tâm lãnh đạo, chỉ đạo công tác giáo dục, quản lý đảng viên; 100% đảng viên chấp hành tốt Quy định số 213-QĐ/TW của Bộ Chính trị. </w:t>
      </w:r>
    </w:p>
    <w:p>
      <w:pPr>
        <w:spacing w:before="120" w:after="120" w:line="240" w:lineRule="auto"/>
        <w:ind w:firstLine="720"/>
        <w:jc w:val="both"/>
        <w:rPr>
          <w:lang w:eastAsia="en-US"/>
        </w:rPr>
      </w:pPr>
      <w:r>
        <w:rPr>
          <w:lang w:eastAsia="en-US"/>
        </w:rPr>
        <w:t xml:space="preserve">Kết quả công tác phát triển đảng: </w:t>
      </w:r>
      <w:r>
        <w:rPr>
          <w:spacing w:val="-4"/>
          <w:szCs w:val="28"/>
        </w:rPr>
        <w:t>01 đồng chí hoàn thành lớp bồi dưỡng đảng viên mới; 02 đoàn viên ưu tú hoàn thành lớp bồi dưỡng nhận thức về Đảng năm 2025;</w:t>
      </w:r>
      <w:r>
        <w:rPr>
          <w:lang w:eastAsia="en-US"/>
        </w:rPr>
        <w:t xml:space="preserve"> triển khai đổi thẻ Đảng viên cho toàn thể đảng viên của Chi bộ.</w:t>
      </w:r>
    </w:p>
    <w:p>
      <w:pPr>
        <w:spacing w:before="120" w:after="120" w:line="240" w:lineRule="auto"/>
        <w:ind w:firstLine="720"/>
        <w:jc w:val="both"/>
        <w:rPr>
          <w:lang w:eastAsia="en-US"/>
        </w:rPr>
      </w:pPr>
      <w:r>
        <w:rPr>
          <w:lang w:eastAsia="en-US"/>
        </w:rPr>
        <w:t xml:space="preserve">Rà soát, bổ sung và quản lý hồ sơ đảng viên: lưu trữ hồ sơ của chi bộ, cập nhật hồ sơ điện tử đối với đảng viên; triển khai ứng dụng “Sổ tay đảng viên điện tử” cho </w:t>
      </w:r>
      <w:r>
        <w:rPr>
          <w:lang w:eastAsia="en-US"/>
        </w:rPr>
        <w:lastRenderedPageBreak/>
        <w:t xml:space="preserve">toàn thể đảng viên tại chi bộ. Thực hiện chế độ báo cáo và cung cấp thông tin kịp thời. Thực hiện chế độ thu, nộp, quản lý, sử dụng đảng phí theo quy định, hoàn thành báo cáo thu nộp đảng phí năm 2025. </w:t>
      </w:r>
    </w:p>
    <w:p>
      <w:pPr>
        <w:spacing w:before="120" w:after="120" w:line="240" w:lineRule="auto"/>
        <w:ind w:firstLine="720"/>
        <w:jc w:val="both"/>
        <w:rPr>
          <w:lang w:eastAsia="en-US"/>
        </w:rPr>
      </w:pPr>
      <w:r>
        <w:rPr>
          <w:lang w:eastAsia="en-US"/>
        </w:rPr>
        <w:t>Kết quả xếp loại chất lượng: Chi bộ hoàn thành tốt nhiệm vụ; tổ đảng tổ 01: HTXSNV, tổ đảng 02, 03: HTTN; 100% đảng viên HTTNV, trong đó 03 đảng viên HTXSNV.</w:t>
      </w:r>
    </w:p>
    <w:p>
      <w:pPr>
        <w:pStyle w:val="Heading2"/>
        <w:spacing w:before="120" w:after="120" w:line="240" w:lineRule="auto"/>
      </w:pPr>
      <w:r>
        <w:t>3. Công tác kiểm tra, giám sát và kỷ luật của Đảng</w:t>
      </w:r>
    </w:p>
    <w:p>
      <w:pPr>
        <w:spacing w:before="120" w:after="120" w:line="240" w:lineRule="auto"/>
        <w:ind w:firstLine="720"/>
        <w:jc w:val="both"/>
        <w:rPr>
          <w:lang w:eastAsia="en-US"/>
        </w:rPr>
      </w:pPr>
      <w:r>
        <w:rPr>
          <w:lang w:eastAsia="en-US"/>
        </w:rPr>
        <w:t xml:space="preserve">- Cấp ủy quan tâm chỉ đạo, thực hiện tốt công tác kiểm tra, giám sát và thi hành kỷ luật trong Đảng. Tổ chức kiểm tra theo Kế hoạch và thực hiện công tác báo cáo cấp trên theo quy định. Thường xuyên theo dõi, giám sát, nắm chắc tình hình hoạt động các tổ đảng, đảng viên. Chỉ đạo các tổ đảng thường xuyên giám sát cán bộ, đảng viên trong việc giữ gìn đạo đức, lối sống; chấp hành các quy định của Đảng, pháp luật của Nhà nước. </w:t>
      </w:r>
    </w:p>
    <w:p>
      <w:pPr>
        <w:shd w:val="clear" w:color="auto" w:fill="FFFFFF"/>
        <w:spacing w:before="120" w:after="120" w:line="240" w:lineRule="auto"/>
        <w:ind w:firstLine="720"/>
        <w:jc w:val="both"/>
      </w:pPr>
      <w:r>
        <w:t xml:space="preserve">- Tăng cường công tác kiểm tra, giám sát cán bộ, đảng viên nêu cao tinh thần đấu tranh phòng chống tiêu cực, tham nhũng, lãng phí; chống các biểu hiện suy thoái về tư tưởng, chính trị, đạo đức lối sống; cải tiến nội dung, phương thức hoạt động của cấp uỷ, nâng cao năng lực lãnh đạo, sức chiến đấu của chi bộ. </w:t>
      </w:r>
    </w:p>
    <w:p>
      <w:pPr>
        <w:shd w:val="clear" w:color="auto" w:fill="FFFFFF"/>
        <w:spacing w:before="120" w:after="120" w:line="240" w:lineRule="auto"/>
        <w:ind w:firstLine="720"/>
        <w:jc w:val="both"/>
      </w:pPr>
      <w:r>
        <w:t xml:space="preserve">- Chỉ đạo thực hiện Kế hoạch của Chi bộ về khắc phục hạn chế, khuyết điểm sau Hội nghị kiểm điểm tập thể, cá nhân năm 2024. Chỉ đạo ban hành Kế hoạch khắc phục kiểm điểm năm 2024. </w:t>
      </w:r>
      <w:r>
        <w:rPr>
          <w:lang w:eastAsia="en-US"/>
        </w:rPr>
        <w:t>Chỉ đạo hoàn thiện các nội dung theo quy định kê khai tài sản, thu nhập đối với cán bộ, công chức, viên chức theo Nghị định 130/2020/NĐ-CP ngày 30/10/2020 của Chính phủ.</w:t>
      </w:r>
    </w:p>
    <w:p>
      <w:pPr>
        <w:pStyle w:val="Heading2"/>
        <w:spacing w:before="120" w:after="120" w:line="240" w:lineRule="auto"/>
      </w:pPr>
      <w:r>
        <w:t>4. Công tác nội chính và phòng, chống tham nhũng, tiêu cực</w:t>
      </w:r>
    </w:p>
    <w:p>
      <w:pPr>
        <w:shd w:val="clear" w:color="auto" w:fill="FFFFFF"/>
        <w:spacing w:before="120" w:after="120" w:line="240" w:lineRule="auto"/>
        <w:ind w:firstLine="720"/>
        <w:jc w:val="both"/>
        <w:rPr>
          <w:lang w:eastAsia="en-US"/>
        </w:rPr>
      </w:pPr>
      <w:r>
        <w:rPr>
          <w:lang w:eastAsia="en-US"/>
        </w:rPr>
        <w:t>- Công tác bảo vệ chính trị nội bộ trong cơ quan, đơn vị được quan tâm chỉ đạo, cán bộ, đảng viên nghiêm túc chấp hành các quy định về bảo vệ Đảng. Chỉ đạo chuyên môn tham mưu cho Cấp ủy thực hiện nghiêm quy định đối với cán bộ, đảng viên ra nước ngoài. Nội bộ đoàn kết, an ninh, chính trị và trật tự an toàn xã hội tại cơ quan được giữ vững. Cấp ủy thực hiện các quy định về nhận xét tiêu chuẩn chính trị cán bộ khi thực hiện công tác bổ nhiệm, quy hoạch được thực hiện nghiêm túc; công tác quản lý tài liệu, hồ sơ cán bộ theo quy định. Chỉ đạo ban hành kế hoạch công tác trọng tâm về cải cách tư pháp và phòng, chống tham nhũng, lãng phí, tiêu cực năm 2025.</w:t>
      </w:r>
    </w:p>
    <w:p>
      <w:pPr>
        <w:shd w:val="clear" w:color="auto" w:fill="FFFFFF"/>
        <w:spacing w:before="120" w:after="120" w:line="240" w:lineRule="auto"/>
        <w:ind w:firstLine="720"/>
        <w:jc w:val="both"/>
        <w:rPr>
          <w:lang w:eastAsia="en-US"/>
        </w:rPr>
      </w:pPr>
      <w:r>
        <w:t>- Tiếp tục chỉ đạo thực hiện Chỉ thị số 51-CT/TU ngày 06/12/2024 của Ban Thường vụ Tỉnh ủy về tăng cường sự lãnh đạo của Đảng đối với công tác phòng, chống lãng phí và Kế hoạch số 340-KH/TU ngày 14/3/2025 của Tỉnh ủy về thực hiện Quy định số 231-QĐ/TW, ngày 17/01/2025 của Bộ Chính trị về bảo vệ người đấu tranh chống tham nhũng, lãng phí, tiêu cực; Kết luận số 103-KL/TW ngày 12/12/2024 của Bộ Chính về tiếp tục thực hiện Chỉ thị số 33-CT/TW về tăng cường sự lãnh đạo của Đảng đối với việc kê khai tài sản và kiểm soát việc kê khai tài sản.</w:t>
      </w:r>
    </w:p>
    <w:p>
      <w:pPr>
        <w:pStyle w:val="Heading2"/>
        <w:spacing w:before="120" w:after="120" w:line="240" w:lineRule="auto"/>
      </w:pPr>
      <w:r>
        <w:lastRenderedPageBreak/>
        <w:t>5. Công tác dân vận và tổ chức đoàn thể</w:t>
      </w:r>
    </w:p>
    <w:p>
      <w:pPr>
        <w:spacing w:before="120" w:after="120" w:line="240" w:lineRule="auto"/>
        <w:ind w:firstLine="720"/>
        <w:jc w:val="both"/>
        <w:rPr>
          <w:lang w:eastAsia="en-US"/>
        </w:rPr>
      </w:pPr>
      <w:r>
        <w:rPr>
          <w:lang w:eastAsia="en-US"/>
        </w:rPr>
        <w:t>- Cấp ủy quan tâm chỉ đạo thực hiện tốt công tác dân vận, tạo sự thống nhất cao, thực hiện nghiêm quy chế dân chủ cơ sở. Chỉ đạo đảng viên, công chức, viên chức tham dự Ngày hội Đại đoàn kết toàn dân tộc ở khu dân cư nơi cư trú đầy đủ, với tinh thần trách nhiệm cao (100% tham dự).</w:t>
      </w:r>
    </w:p>
    <w:p>
      <w:pPr>
        <w:pStyle w:val="content"/>
        <w:spacing w:before="120" w:after="120"/>
        <w:ind w:firstLine="720"/>
        <w:jc w:val="both"/>
        <w:rPr>
          <w:rFonts w:ascii="Times New Roman" w:hAnsi="Times New Roman" w:cs="Times New Roman"/>
          <w:sz w:val="28"/>
          <w:szCs w:val="28"/>
          <w:lang w:val="nb-NO" w:eastAsia="en-US"/>
        </w:rPr>
      </w:pPr>
      <w:r>
        <w:rPr>
          <w:lang w:eastAsia="en-US"/>
        </w:rPr>
        <w:t xml:space="preserve">- </w:t>
      </w:r>
      <w:r>
        <w:rPr>
          <w:rFonts w:ascii="Times New Roman" w:hAnsi="Times New Roman" w:cs="Times New Roman"/>
          <w:sz w:val="28"/>
          <w:szCs w:val="28"/>
          <w:lang w:val="nb-NO" w:eastAsia="en-US"/>
        </w:rPr>
        <w:t>Tiếp tục thực hiện Chỉ thị số 45-CT/TU ngày 27/8/2024 của Ban Thường vụ Tỉnh ủy về đổi mới, nâng cao hiệu quả phong trào thi đua “Dân vận khéo” trên địa bàn tỉnh Hà Tĩnh trong thời gian tới; Chỉ thị 46-CT/TU, ngày 18/9/2024 của Ban Thường vụ tỉnh ủy về tăng cường sự lãnh đạo của cấp ủy đảng đối với công tác khoa giáo trên địa bàn tỉnh trong giai đoạn mới.</w:t>
      </w:r>
    </w:p>
    <w:p>
      <w:pPr>
        <w:spacing w:before="120" w:after="120" w:line="240" w:lineRule="auto"/>
        <w:ind w:firstLine="720"/>
        <w:jc w:val="both"/>
        <w:rPr>
          <w:lang w:eastAsia="en-US"/>
        </w:rPr>
      </w:pPr>
      <w:r>
        <w:rPr>
          <w:lang w:eastAsia="en-US"/>
        </w:rPr>
        <w:t>- Chỉ đạo Đoàn Thanh niên: tổ chức thành công Đại hội Chi đoàn Sở Ngoại vụ nhiệm kỳ 2025 - 2027; chú trọng công tác truyên truyền, giáo dục cho thanh niên, tổ chức các phong trào góp sức trẻ phát triển kinh tế - xã hội, quốc phòng, an ninh và bảo vệ Tổ quốc, các chương trình đồng hành với thanh thiếu nhi, cụ thể như: tham gia các hoạt động chào mừng Ngày thành lập đoàn Thanh niên cộng sản Hồ Chí Minh 26/3 và triển khai tháng Thanh niên 2025, Ngày sinh của Anh hùng liệt sĩ Lý Tự Trọng bằng các hoạt động cụ thể thiết thực (hành hương về địa chỉ đỏ; thực hiện các hoạt động từ thiện nhân đạo); triển khai các hoạt động nhân kỷ niệm ngày Quốc tế phụ nữ 8/3, ngày thành lập Hội LHPN Việt Nam 20/10; vận động đoàn viên tham gia các chương trình tình nguyện vì cộng đồng, an sinh xã hội; xây dựng các công trình, phần việc thanh niên chào mừng Đại hội Chi bộ Sở và Đại hội Đảng bộ UBND tỉnh lần thứ I; Căn cứ những kết quả nổi bật trong năm 2025, Đoàn Thanh niên Sở được Đoàn UBND tỉnh xếp loại hoàn thành xuất sắc nhiệm vụ.</w:t>
      </w:r>
    </w:p>
    <w:p>
      <w:pPr>
        <w:pStyle w:val="Heading1"/>
        <w:spacing w:before="120" w:after="120" w:line="240" w:lineRule="auto"/>
      </w:pPr>
      <w:r>
        <w:t>II. LÃNH ĐẠO THỰC HIỆN NHIỆM VỤ CHÍNH TRỊ</w:t>
      </w:r>
    </w:p>
    <w:p>
      <w:pPr>
        <w:widowControl w:val="0"/>
        <w:spacing w:before="120" w:after="120" w:line="240" w:lineRule="auto"/>
        <w:ind w:firstLine="720"/>
        <w:jc w:val="both"/>
        <w:rPr>
          <w:rFonts w:ascii="Times New Roman Bold" w:hAnsi="Times New Roman Bold"/>
          <w:b/>
          <w:szCs w:val="28"/>
        </w:rPr>
      </w:pPr>
      <w:r>
        <w:rPr>
          <w:rFonts w:ascii="Times New Roman Bold" w:hAnsi="Times New Roman Bold"/>
          <w:b/>
          <w:szCs w:val="28"/>
        </w:rPr>
        <w:t>1. Chỉ đạo thực hiện chủ trương, đường lối đối ngoại và quản lý nhà nước về hoạt động đối ngoại</w:t>
      </w:r>
    </w:p>
    <w:p>
      <w:pPr>
        <w:widowControl w:val="0"/>
        <w:spacing w:before="120" w:after="120" w:line="240" w:lineRule="auto"/>
        <w:ind w:firstLine="720"/>
        <w:jc w:val="both"/>
        <w:rPr>
          <w:szCs w:val="28"/>
          <w:lang w:val="de-AT"/>
        </w:rPr>
      </w:pPr>
      <w:r>
        <w:rPr>
          <w:szCs w:val="28"/>
        </w:rPr>
        <w:t>Tập trung tham mưu</w:t>
      </w:r>
      <w:r>
        <w:rPr>
          <w:szCs w:val="28"/>
          <w:lang w:val="vi-VN"/>
        </w:rPr>
        <w:t xml:space="preserve"> </w:t>
      </w:r>
      <w:r>
        <w:rPr>
          <w:szCs w:val="28"/>
          <w:lang w:val="de-AT"/>
        </w:rPr>
        <w:t>triển khai Nghị quyết số 59-NQ/TW, ngày 24/01/2025 của Bộ Chính trị về hội nhập quốc tế trong tình hình mới, Chương trình hành động số 44-CTr/TU ngày 21/5/2025 của Tỉnh ủy và Kế hoạch số 352/KH-UBND ngày 27/6/2025 của Ủy ban nhân dân tỉnh thực hiện Nghị quyết số 59-NQ/TW; ban hành Kế hoạch số 350-KH/TU ngày 10/4/2025 của Ban Thường vụ Tỉnh ủy về tăng cường thực hiện Chỉ thị số 25-CT/TW ngày 08/8/2018 của Ban Bí thư về đẩy mạnh và nâng tầm đối ngoại đa phương đến năm 2030; Kế hoạch đối ngoại và hội nhập quốc tế năm 2025, chỉ đạo các đơn vị, địa phương triển khai, thực hiện. Tiếp tục triển khai đồng bộ, hiệu quả các chương trình, kế hoạch, chủ trương của Trung ương và của Tỉnh về công tác đối ngoại, hội nhập quốc tế, đối ngoại nhân dân, thông tin đối ngoại và ngoại giao kinh tế trong giai đoạn hiện nay</w:t>
      </w:r>
      <w:r>
        <w:rPr>
          <w:rStyle w:val="FootnoteReference"/>
          <w:szCs w:val="28"/>
          <w:lang w:val="de-AT"/>
        </w:rPr>
        <w:footnoteReference w:id="1"/>
      </w:r>
      <w:r>
        <w:rPr>
          <w:szCs w:val="28"/>
          <w:lang w:val="de-AT"/>
        </w:rPr>
        <w:t xml:space="preserve">, bảo đảm bám sát định hướng của Đảng, phù hợp yêu cầu phát </w:t>
      </w:r>
      <w:r>
        <w:rPr>
          <w:szCs w:val="28"/>
          <w:lang w:val="de-AT"/>
        </w:rPr>
        <w:lastRenderedPageBreak/>
        <w:t>triển của Tỉnh.</w:t>
      </w:r>
    </w:p>
    <w:p>
      <w:pPr>
        <w:widowControl w:val="0"/>
        <w:spacing w:before="120" w:after="120" w:line="240" w:lineRule="auto"/>
        <w:ind w:firstLine="720"/>
        <w:jc w:val="both"/>
        <w:rPr>
          <w:bCs/>
          <w:spacing w:val="-2"/>
          <w:szCs w:val="28"/>
          <w:lang w:val="de-AT"/>
        </w:rPr>
      </w:pPr>
      <w:r>
        <w:rPr>
          <w:bCs/>
          <w:spacing w:val="-2"/>
          <w:szCs w:val="28"/>
          <w:lang w:val="de-AT"/>
        </w:rPr>
        <w:t>Hiện nay, tỉnh đang chỉ đạo Sở Ngoại vụ chủ trì, phối hợp các sở, ngành, đơn vị liên quan tham mưu sửa đổi Quy chế quản lý thống nhất hoạt động đối ngoại trên địa bàn tỉnh; Quyết định thay thế Quyết định số 46/2021/QĐ-UBND ngày 29/10/2021 của UBND tỉnh về ban hành Quy chế phối hợp trong công tác quản lý hoạt động thông tin, báo chí nước ngoài, cơ quan đại diện nước ngoài, tổ chức nước ngoài trên địa bàn tỉnh Hà Tĩnh; Quyết định số 32/2022/QĐ-UBND ngày 24/11/2022 của UBND tỉnh về Quy chế phối hợp quản lý các đoàn khách nước ngoài đến thăm, làm việc trên địa bàn tỉnh Hà Tĩnh; Quyết định số 39/2020/QĐ-UBND ngày 08/12/2020 của UBND tỉnh về Quy chế phối hợp xử lý các vấn đề về lãnh sự liên quan đến người nước ngoài trên địa bàn tỉnh nhằm tăng cường và thống nhất các hoạt động đối ngoại trên địa bàn tỉnh.</w:t>
      </w:r>
    </w:p>
    <w:p>
      <w:pPr>
        <w:widowControl w:val="0"/>
        <w:spacing w:before="120" w:after="120" w:line="240" w:lineRule="auto"/>
        <w:ind w:firstLine="720"/>
        <w:jc w:val="both"/>
        <w:rPr>
          <w:b/>
          <w:szCs w:val="28"/>
          <w:lang w:val="vi-VN"/>
        </w:rPr>
      </w:pPr>
      <w:r>
        <w:rPr>
          <w:b/>
          <w:szCs w:val="28"/>
          <w:lang w:val="de-AT"/>
        </w:rPr>
        <w:t xml:space="preserve">Tổ chức và quản lý đoàn ra, đoàn vào: </w:t>
      </w:r>
      <w:r>
        <w:rPr>
          <w:szCs w:val="28"/>
          <w:lang w:val="de-AT"/>
        </w:rPr>
        <w:t>Sở Ngoại vụ tham mưu</w:t>
      </w:r>
      <w:r>
        <w:rPr>
          <w:b/>
          <w:szCs w:val="28"/>
          <w:lang w:val="de-AT"/>
        </w:rPr>
        <w:t xml:space="preserve"> </w:t>
      </w:r>
      <w:r>
        <w:rPr>
          <w:spacing w:val="-4"/>
          <w:szCs w:val="28"/>
          <w:lang w:val="de-AT"/>
        </w:rPr>
        <w:t xml:space="preserve">Tỉnh thực hiện nghiêm túc việc đăng ký kế hoạch đoàn ra, đoàn vào từ đầu năm cũng như điều chỉnh kế hoạch 06 tháng cuối năm theo chỉ đạo, hướng dẫn của Trung ương. </w:t>
      </w:r>
      <w:r>
        <w:rPr>
          <w:spacing w:val="3"/>
          <w:szCs w:val="28"/>
          <w:shd w:val="clear" w:color="auto" w:fill="FFFFFF"/>
        </w:rPr>
        <w:t>Tính đến hết ngày 25/12/2025, có 54 đoàn với 267 lượt cán bộ, công chức, viên chức đi công tác nước ngoài (giảm 18 đoàn với 192 lượt so với cùng kỳ năm 2024), trong đó: 33 đoàn sử dụng ngân sách Nhà nước, 08 đoàn do Trung ương đài thọ, 13 đoàn do đối tác đài thọ. Các đoàn ra đảm bảo thời gian, thành phần, mục đích, tiết kiệm, hiệu quả, thực hiện đúng quy định pháp luật của nước sở tại và thực hiện các quy định của Trung ương, của tỉnh. Đoàn vào có 39 đoàn với 700 lượt khách quốc tế đến thăm, làm việc tại Hà Tĩnh (giảm 05 đoàn nhưng tăng 188 lượt khách so với năm 2024), trong đó có 12 đoàn do lãnh đạo tỉnh đón tiếp 31 đoàn với 105 lượt khách quốc tế là các cơ quan đại diện nước ngoài, các tổ chức quốc tế, tổ chức phi chính phủ tại Việt Nam vào làm việc, triển khai các chương trình, dự án tại tỉnh. Các đoàn vào đảm bảo quy trình, thành phần, nội dung đã được phê duyệt, tổ chức đón tiếp theo lễ tân đối ngoại, thông lệ quốc tế.</w:t>
      </w:r>
    </w:p>
    <w:p>
      <w:pPr>
        <w:widowControl w:val="0"/>
        <w:spacing w:before="120" w:after="120" w:line="240" w:lineRule="auto"/>
        <w:ind w:firstLine="720"/>
        <w:jc w:val="both"/>
        <w:rPr>
          <w:b/>
          <w:szCs w:val="28"/>
          <w:lang w:val="de-AT"/>
        </w:rPr>
      </w:pPr>
      <w:r>
        <w:rPr>
          <w:b/>
          <w:szCs w:val="28"/>
          <w:lang w:val="de-AT"/>
        </w:rPr>
        <w:t>Tăng cường công tác ký kết và thực hiện các thỏa thuận quốc tế; Hội nghị hội thảo quốc tế:</w:t>
      </w:r>
      <w:r>
        <w:rPr>
          <w:szCs w:val="28"/>
          <w:lang w:val="af-ZA"/>
        </w:rPr>
        <w:t xml:space="preserve"> tỉnh Hà Tĩnh đã tổ chức ký kết 02 Thỏa thuận quốc tế nhân danh cấp tỉnh</w:t>
      </w:r>
      <w:r>
        <w:rPr>
          <w:rStyle w:val="FootnoteReference"/>
          <w:szCs w:val="28"/>
          <w:lang w:val="af-ZA"/>
        </w:rPr>
        <w:footnoteReference w:id="2"/>
      </w:r>
      <w:r>
        <w:rPr>
          <w:szCs w:val="28"/>
          <w:lang w:val="af-ZA"/>
        </w:rPr>
        <w:t xml:space="preserve">. Việc ký kết các văn bản, thỏa thuận quốc tế đảm bảo đúng quy trình, có sự phối hợp tốt giữa các cơ quan liên quan, nội dung ký kết đảm bảo đúng quy định pháp luật, các thỏa thuận thực hiện đúng nội dung cam kết. </w:t>
      </w:r>
      <w:r>
        <w:rPr>
          <w:szCs w:val="28"/>
        </w:rPr>
        <w:t>C</w:t>
      </w:r>
      <w:r>
        <w:rPr>
          <w:szCs w:val="28"/>
          <w:lang w:val="vi-VN"/>
        </w:rPr>
        <w:t>ác cơ quan, đơn vị, địa phương</w:t>
      </w:r>
      <w:r>
        <w:rPr>
          <w:szCs w:val="28"/>
          <w:lang w:val="af-ZA"/>
        </w:rPr>
        <w:t xml:space="preserve"> trên địa bàn tỉnh</w:t>
      </w:r>
      <w:r>
        <w:rPr>
          <w:szCs w:val="28"/>
          <w:lang w:val="vi-VN"/>
        </w:rPr>
        <w:t xml:space="preserve"> đã tổ chức 07 hội thảo quốc tế. Tỉnh đã tăng cường công tác tuyên truyền, quán triệt, hướng dẫn các quy định của pháp luật về tổ chức, quản lý hội </w:t>
      </w:r>
      <w:r>
        <w:rPr>
          <w:szCs w:val="28"/>
          <w:lang w:val="vi-VN"/>
        </w:rPr>
        <w:lastRenderedPageBreak/>
        <w:t>nghị hội thảo quốc tế đối với các cơ quan, doanh nghiệp, tổ chức, cá nhân trên địa bàn tỉnh. Đồng thời, áp dụng triển khai dịch vụ công trực tuyến toàn trình đối với thủ tục hành chính cho phép tổ chức hội nghị, hội thảo quốc tế không thuộc thẩm quyền của Thủ tướng Chính phủ trên địa bàn tỉnh nhằm tạo điều kiện thuận lợi cho các cơ quan, tổ chức, cá nhân trong việc nộp hồ sơ và nhận kết quả, rút ngắn quy trình xử lý của cơ quan chức năng, đảm bảo tính công khai, minh bạch. Các hội nghị hội thảo tuân thủ quy trình, thủ tục, đảm bảo hiệu quả, thiết thực.</w:t>
      </w:r>
    </w:p>
    <w:p>
      <w:pPr>
        <w:widowControl w:val="0"/>
        <w:spacing w:before="120" w:after="120" w:line="240" w:lineRule="auto"/>
        <w:ind w:firstLine="720"/>
        <w:jc w:val="both"/>
        <w:rPr>
          <w:b/>
          <w:szCs w:val="28"/>
          <w:lang w:val="vi-VN"/>
        </w:rPr>
      </w:pPr>
      <w:r>
        <w:rPr>
          <w:b/>
          <w:szCs w:val="28"/>
        </w:rPr>
        <w:t>Tăng cường c</w:t>
      </w:r>
      <w:r>
        <w:rPr>
          <w:b/>
          <w:szCs w:val="28"/>
          <w:lang w:val="vi-VN"/>
        </w:rPr>
        <w:t>ông tác xúc tiến đầu tư</w:t>
      </w:r>
      <w:r>
        <w:rPr>
          <w:b/>
          <w:szCs w:val="28"/>
        </w:rPr>
        <w:t xml:space="preserve">: </w:t>
      </w:r>
      <w:r>
        <w:rPr>
          <w:szCs w:val="28"/>
          <w:lang w:val="af-ZA"/>
        </w:rPr>
        <w:t xml:space="preserve">tích cực hỗ trợ các doanh nghiệp của Việt Nam và của Tỉnh đầu tư tại các địa phương Lào. </w:t>
      </w:r>
      <w:r>
        <w:rPr>
          <w:szCs w:val="28"/>
          <w:lang w:val="vi-VN"/>
        </w:rPr>
        <w:t>Tổ chức các buổi làm việc với Đại sứ quán, các tổ chức quốc tế tại Việt Nam</w:t>
      </w:r>
      <w:r>
        <w:rPr>
          <w:szCs w:val="28"/>
          <w:vertAlign w:val="superscript"/>
        </w:rPr>
        <w:footnoteReference w:id="3"/>
      </w:r>
      <w:r>
        <w:rPr>
          <w:szCs w:val="28"/>
          <w:lang w:val="af-ZA"/>
        </w:rPr>
        <w:t>,</w:t>
      </w:r>
      <w:r>
        <w:rPr>
          <w:szCs w:val="28"/>
          <w:lang w:val="vi-VN"/>
        </w:rPr>
        <w:t xml:space="preserve"> </w:t>
      </w:r>
      <w:r>
        <w:rPr>
          <w:szCs w:val="28"/>
          <w:lang w:val="af-ZA"/>
        </w:rPr>
        <w:t xml:space="preserve">tích cực </w:t>
      </w:r>
      <w:r>
        <w:rPr>
          <w:szCs w:val="28"/>
          <w:lang w:val="vi-VN"/>
        </w:rPr>
        <w:t>tham gia các diễn đàn quốc tế do Bộ Ngoại giao và các cơ quan đại diện ngoại giao Việt Nam ở nước ngoài tổ chức</w:t>
      </w:r>
      <w:r>
        <w:rPr>
          <w:rStyle w:val="FootnoteReference"/>
          <w:szCs w:val="28"/>
          <w:lang w:val="vi-VN"/>
        </w:rPr>
        <w:footnoteReference w:id="4"/>
      </w:r>
      <w:r>
        <w:rPr>
          <w:szCs w:val="28"/>
          <w:lang w:val="vi-VN"/>
        </w:rPr>
        <w:t>; tổ chức xúc tiến đầu tư</w:t>
      </w:r>
      <w:r>
        <w:rPr>
          <w:szCs w:val="28"/>
          <w:lang w:val="af-ZA"/>
        </w:rPr>
        <w:t>, thương mại</w:t>
      </w:r>
      <w:r>
        <w:rPr>
          <w:szCs w:val="28"/>
          <w:lang w:val="vi-VN"/>
        </w:rPr>
        <w:t xml:space="preserve"> ở nước ngoài, cung cấp tài liệu về tiềm năng, lợi thế, các dự án kêu gọi đầu tư, tình hình thu hút đầu tư vào tỉnh Hà Tĩnh cho các nhà đầu tư quan tâm, tìm kiếm các cơ hội hợp tác, đầu tư mới.</w:t>
      </w:r>
      <w:r>
        <w:rPr>
          <w:szCs w:val="28"/>
          <w:lang w:val="af-ZA"/>
        </w:rPr>
        <w:t xml:space="preserve"> Trong năm, tỉnh đã tổ chức đón tiếp nhiều Đoàn khách quốc tế, doanh nghiệp nước ngoài đến khảo sát, tìm hiểu các cơ hội đầu tư tại Hà Tĩnh</w:t>
      </w:r>
      <w:r>
        <w:rPr>
          <w:rStyle w:val="FootnoteReference"/>
          <w:szCs w:val="28"/>
          <w:lang w:val="af-ZA"/>
        </w:rPr>
        <w:footnoteReference w:id="5"/>
      </w:r>
      <w:r>
        <w:rPr>
          <w:szCs w:val="28"/>
          <w:lang w:val="af-ZA"/>
        </w:rPr>
        <w:t>; khánh thành và đưa vào khai thác Bến số 3 cảng quốc tế Lào - Việt. Đây là những hoạt động có ý nghĩa quan trọng, góp phần quảng bá hình ảnh Hà Tĩnh là điểm đến an toàn, thân thiện và tiềm năng đối với các nhà đầu tư nước ngoài.</w:t>
      </w:r>
      <w:r>
        <w:rPr>
          <w:b/>
          <w:szCs w:val="28"/>
        </w:rPr>
        <w:t xml:space="preserve"> </w:t>
      </w:r>
      <w:r>
        <w:rPr>
          <w:szCs w:val="28"/>
          <w:lang w:val="af-ZA"/>
        </w:rPr>
        <w:t>Tổ chức nhận bàn giao dự án Trường Tiểu học Tùng Châu, nguồn vốn viện trợ không hoàn lại do Bộ Tư lệnh Ấn độ Dương - Thái Bình Dương, Hoa kỳ tài trợ vào đưa vào sử dụng.</w:t>
      </w:r>
    </w:p>
    <w:p>
      <w:pPr>
        <w:widowControl w:val="0"/>
        <w:spacing w:before="120" w:after="120" w:line="240" w:lineRule="auto"/>
        <w:ind w:firstLine="720"/>
        <w:jc w:val="both"/>
        <w:rPr>
          <w:b/>
          <w:szCs w:val="28"/>
          <w:lang w:val="af-ZA"/>
        </w:rPr>
      </w:pPr>
      <w:r>
        <w:rPr>
          <w:b/>
          <w:szCs w:val="28"/>
          <w:lang w:val="af-ZA"/>
        </w:rPr>
        <w:t xml:space="preserve">Công tác hội nhập, hợp tác quốc tế: </w:t>
      </w:r>
      <w:r>
        <w:rPr>
          <w:szCs w:val="28"/>
          <w:lang w:val="af-ZA"/>
        </w:rPr>
        <w:t xml:space="preserve">Tỉnh Hà Tĩnh tiếp tục triển khai đồng bộ các chủ trương, nghị quyết và chỉ thị của Trung ương về hội nhập quốc tế, quan hệ đối ngoại Đảng và ngoại giao kinh tế, bảo đảm bám sát Nghị quyết số 59-NQ/TW và các văn bản liên quan; đồng thời cụ thể hóa bằng Chương trình hành động và Kế hoạch </w:t>
      </w:r>
      <w:r>
        <w:rPr>
          <w:spacing w:val="-4"/>
          <w:szCs w:val="28"/>
          <w:lang w:val="af-ZA"/>
        </w:rPr>
        <w:t>phù hợp với yêu cầu phát triển trong tình hình mới.</w:t>
      </w:r>
      <w:r>
        <w:rPr>
          <w:b/>
          <w:szCs w:val="28"/>
          <w:lang w:val="af-ZA"/>
        </w:rPr>
        <w:t xml:space="preserve"> </w:t>
      </w:r>
      <w:r>
        <w:rPr>
          <w:szCs w:val="28"/>
          <w:lang w:val="af-ZA"/>
        </w:rPr>
        <w:t xml:space="preserve">Tiếp tục duy trì, củng cố mối quan </w:t>
      </w:r>
      <w:r>
        <w:rPr>
          <w:szCs w:val="28"/>
          <w:lang w:val="af-ZA"/>
        </w:rPr>
        <w:lastRenderedPageBreak/>
        <w:t>hệ hữu nghị vĩ đại, đoàn kết đặc biệt và hợp tác toàn diện với các địa phương của nước Cộng hòa Dân chủ nhân dân Lào; gìn giữ, vun đắp mối quan hệ hữu nghị đoàn kết đặc biệt với tỉnh Bolikhămxay và hợp tác toàn diện với các tỉnh Khăm Muồn, Thủ đô Viêng Chăn, Savannakhet; mở rộng hợp tác với các tỉnh Bắc Lào. Tổ chức Đoàn cấp cao do đồng chí Bí thư Tỉnh ủy làm trưởng Đoàn dự Hội nghị cấp cao và ký kết Biên bản hợp tác giữa Hà Tĩnh - Bolikhămxay, Hà Tĩnh - Khăm Muồn; Tổ chức Đoàn công tác do đồng chí Phó Chủ tịch Thường trực HĐND tỉnh đi chúc Tết cổ truyền các tỉnh Bolikhămxay, Khăm Muồn, Savannakhet, Thủ đô Viêng Chăn. Tổ chức đón tiếp các Đoàn cấp cao từ Trung ương và các tỉnh Lào sang thăm và làm việc tại Hà Tĩnh như: Tổng Bí thư, Chủ tịch nước Lào, phó Thủ tướng Chính phủ Lào cùng đoàn đại biểu cấp cao Lào, Đại sứ quán Lào tại Việt Nam, Tổng Lãnh sự quán Lào tại Đà Nẵng, lãnh đạo các tỉnh Bolikhămxay, Khăm Muồn, Savannakhet và Xiêng Khoảng sang tham dự Lễ khánh thành Bến số 3, Cảng Quốc tế Lào - Việt; đón tiếp Đoàn công tác của Thủ đô Viêng Chăn sang thăm và làm việc tại Hà Tĩnh,... Gửi Điện chúc mừng Đại sứ quán Lào tại Việt Nam, Tổng Lãnh sự quán Lào tại Đà Nẵng và các tỉnh bạn Lào nhân dịp Kỷ niệm 70 năm ngày thành lập Đảng nhân dân cách mạng Lào và 50 năm Quốc khánh nước CHDCND Lào. Các sở, ban, ngành, đơn vị, địa phương của hai Bên thường xuyên trao đổi đoàn giao lưu, gặp gỡ, học tập kinh nghiệm trong công tác, góp phần đưa mối quan hệ hữu nghị vĩ đại, đoàn kết đặc biệt và hợp tác toàn diện giữa hai Đảng, hai Nhà nước nói chung và tỉnh Hà Tĩnh với các tỉnh nước bạn Lào nói riêng ngày càng đi vào chiều sâu, thiết thực hiệu quả.</w:t>
      </w:r>
    </w:p>
    <w:p>
      <w:pPr>
        <w:widowControl w:val="0"/>
        <w:spacing w:before="120" w:after="120" w:line="240" w:lineRule="auto"/>
        <w:ind w:firstLine="720"/>
        <w:jc w:val="both"/>
        <w:rPr>
          <w:szCs w:val="28"/>
          <w:lang w:val="af-ZA"/>
        </w:rPr>
      </w:pPr>
      <w:r>
        <w:rPr>
          <w:szCs w:val="28"/>
          <w:lang w:val="af-ZA"/>
        </w:rPr>
        <w:t>Hà Tĩnh là một trong những địa phương tiếp nhận đào tạo tiếng Việt và chuyên ngành hệ đại học, cao đẳng cho cán bộ, học sinh các tỉnh của Lào với số lượng nhiều nhất cả nước. Năm học 2024 - 2025, tỉnh hỗ trợ 167 chỉ tiêu học bổng cho các tỉnh bạn Lào (trong đó 19 chỉ tiêu thuộc diện học sinh học trung học phổ thông và 148 chỉ tiêu học Đại học và chuyên ngành tại các Trường Đại học và cao đẳng trên địa bàn tỉnh). Năm học 2025 - 2026, tỉnh Hà Tĩnh tiếp tục cấp chỉ tiêu học bổng mới cho các tỉnh của Lào với tổng số 192 chỉ tiêu. Hội đồng nhân dân tỉnh thông qua Nghị quyết quy định chế độ hỗ trợ đào tạo, bồi dưỡng đối với cán bộ, học sinh Lào học tập trên địa bàn tỉnh Hà Tĩnh giai đoạn 2026-2030 thay thế Nghị quyết số 118/2023/NQ-HĐND, ngày 08/12/2023 và Nghị quyết số 139/2024/NQ-HĐND, ngày 13/12/2024 của HĐND tỉnh.</w:t>
      </w:r>
    </w:p>
    <w:p>
      <w:pPr>
        <w:widowControl w:val="0"/>
        <w:spacing w:before="120" w:after="120" w:line="240" w:lineRule="auto"/>
        <w:ind w:firstLine="720"/>
        <w:jc w:val="both"/>
        <w:rPr>
          <w:szCs w:val="28"/>
          <w:lang w:val="af-ZA"/>
        </w:rPr>
      </w:pPr>
      <w:r>
        <w:rPr>
          <w:szCs w:val="28"/>
          <w:lang w:val="af-ZA"/>
        </w:rPr>
        <w:t xml:space="preserve">Tiếp tục tăng cường mối quan hệ hợp tác với các cơ quan đại diện ngoại giao, các tổ chức quốc tế, các tổ chức phi chính phủ tại Việt Nam. Tổ chức Đoàn công tác đến thăm và làm việc với các cơ quan đại diện ngoại giao các nước tại Việt Nam và các tổ chức quốc tế nhân dịp lễ Giáng sinh và năm mới, được các cơ quan, tổ chức quốc tế đánh giá cao, thể hiện sự quan tâm, tinh thần hợp tác của tỉnh; đồng thời góp phần duy trì, tăng cường mối quan hệ hợp tác hiệu quả giữa tỉnh với các đối tác nước ngoài; tăng cường thúc đẩy các hoạt động trong khuôn khổ hợp tác với các thành viên của Hiệp hội các tỉnh 03 nước Việt Nam - Lào - Thái Lan có sử dụng đường 8 và đường 12 (APOTC). Xúc tiến thiết lập mối quan hệ hữu nghị, hợp tác mới với các </w:t>
      </w:r>
      <w:r>
        <w:rPr>
          <w:szCs w:val="28"/>
          <w:lang w:val="af-ZA"/>
        </w:rPr>
        <w:lastRenderedPageBreak/>
        <w:t>tỉnh, thành phố của các nước có nhiều điểm tương đồng và có tiềm năng, thế mạnh trong việc hợp tác phát triển kinh tế, giao lưu văn hóa.</w:t>
      </w:r>
    </w:p>
    <w:p>
      <w:pPr>
        <w:widowControl w:val="0"/>
        <w:spacing w:before="120" w:after="120" w:line="240" w:lineRule="auto"/>
        <w:ind w:firstLine="720"/>
        <w:jc w:val="both"/>
        <w:rPr>
          <w:szCs w:val="28"/>
          <w:lang w:val="af-ZA"/>
        </w:rPr>
      </w:pPr>
      <w:r>
        <w:rPr>
          <w:b/>
          <w:szCs w:val="28"/>
          <w:lang w:val="af-ZA"/>
        </w:rPr>
        <w:t>Công tác vận động và quản lý viện trợ phi chính phủ nước ngoài</w:t>
      </w:r>
      <w:r>
        <w:rPr>
          <w:szCs w:val="28"/>
          <w:lang w:val="af-ZA"/>
        </w:rPr>
        <w:t xml:space="preserve">: </w:t>
      </w:r>
      <w:r>
        <w:rPr>
          <w:szCs w:val="28"/>
          <w:lang w:val="vi-VN"/>
        </w:rPr>
        <w:t>N</w:t>
      </w:r>
      <w:r>
        <w:rPr>
          <w:szCs w:val="28"/>
          <w:lang w:val="de-AT"/>
        </w:rPr>
        <w:t>ăm 2025, tỉnh Hà Tĩnh đã đề xuất Ủy ban Công tác về các tổ chức phi chính phủ nước ngoài cấp mới, bổ sung,</w:t>
      </w:r>
      <w:r>
        <w:rPr>
          <w:szCs w:val="28"/>
          <w:lang w:val="vi-VN"/>
        </w:rPr>
        <w:t xml:space="preserve"> sửa đổi, gia hạn</w:t>
      </w:r>
      <w:r>
        <w:rPr>
          <w:szCs w:val="28"/>
          <w:lang w:val="de-AT"/>
        </w:rPr>
        <w:t xml:space="preserve"> chuyển</w:t>
      </w:r>
      <w:r>
        <w:rPr>
          <w:szCs w:val="28"/>
          <w:lang w:val="vi-VN"/>
        </w:rPr>
        <w:t xml:space="preserve"> đổi</w:t>
      </w:r>
      <w:r>
        <w:rPr>
          <w:szCs w:val="28"/>
          <w:lang w:val="de-AT"/>
        </w:rPr>
        <w:t xml:space="preserve"> </w:t>
      </w:r>
      <w:r>
        <w:rPr>
          <w:szCs w:val="28"/>
          <w:lang w:val="af-ZA"/>
        </w:rPr>
        <w:t>Giấy Đăng ký hoạt động cho 10 tổ chức phi chính phủ nước ngoài</w:t>
      </w:r>
      <w:r>
        <w:rPr>
          <w:rStyle w:val="FootnoteReference"/>
          <w:szCs w:val="28"/>
        </w:rPr>
        <w:footnoteReference w:id="6"/>
      </w:r>
      <w:r>
        <w:rPr>
          <w:szCs w:val="28"/>
          <w:lang w:val="af-ZA"/>
        </w:rPr>
        <w:t xml:space="preserve"> và phê duyệt tiếp nhận, điều chỉnh bổ sung 09 khoản viện trợ không hoàn lại của các Tổ chức phi chính phủ nước ngoài, các tổ chức quốc tế với tổng giá trị cam kết trên 27 tỷ đồng, các dự án được triển khai đúng kế hoạch và được đơn vị tiếp nhận đánh giá có hiệu quả và đóng góp tích cực vào công tác xóa đói giảm nghèo và phát triển kinh tế - xã hội của tỉnh. Tích cực vận động các tổ chức quốc tế, các tổ chức phi chính phủ nước ngoài</w:t>
      </w:r>
      <w:r>
        <w:rPr>
          <w:rStyle w:val="FootnoteReference"/>
          <w:szCs w:val="28"/>
        </w:rPr>
        <w:footnoteReference w:id="7"/>
      </w:r>
      <w:r>
        <w:rPr>
          <w:szCs w:val="28"/>
          <w:lang w:val="af-ZA"/>
        </w:rPr>
        <w:t xml:space="preserve"> viện trợ khẩn cấp khắc phục hậu quả cơn bão số 5 và số 10 xảy ra trên địa bàn tỉnh.</w:t>
      </w:r>
    </w:p>
    <w:p>
      <w:pPr>
        <w:widowControl w:val="0"/>
        <w:spacing w:before="120" w:after="120" w:line="240" w:lineRule="auto"/>
        <w:ind w:firstLine="720"/>
        <w:jc w:val="both"/>
        <w:rPr>
          <w:b/>
          <w:szCs w:val="28"/>
          <w:lang w:val="af-ZA"/>
        </w:rPr>
      </w:pPr>
      <w:r>
        <w:rPr>
          <w:b/>
          <w:szCs w:val="28"/>
          <w:lang w:val="af-ZA"/>
        </w:rPr>
        <w:t>Công tác ngoại giao văn hóa: T</w:t>
      </w:r>
      <w:r>
        <w:rPr>
          <w:szCs w:val="28"/>
          <w:lang w:val="sv-SE"/>
        </w:rPr>
        <w:t>hực hiện đường lối đối ngoại của Đảng, Nhà nước trong việc gắn kết ngoại giao văn hóa với ngoại giao chính trị và ngoại giao kinh tế, t</w:t>
      </w:r>
      <w:r>
        <w:rPr>
          <w:szCs w:val="28"/>
          <w:lang w:val="af-ZA"/>
        </w:rPr>
        <w:t xml:space="preserve">hời gian qua tỉnh tiếp tục đẩy mạnh triển khai công tác ngoại giao văn hóa trên địa bàn. Tỉnh đã chỉ đạo các ngành, địa phương tập trung quảng bá hình ảnh, văn hóa Hà Tĩnh nói chung và Việt Nam nói riêng ra bên ngoài. </w:t>
      </w:r>
      <w:r>
        <w:rPr>
          <w:szCs w:val="28"/>
          <w:lang w:val="de-AT"/>
        </w:rPr>
        <w:t xml:space="preserve">Tiếp tục </w:t>
      </w:r>
      <w:r>
        <w:rPr>
          <w:szCs w:val="28"/>
          <w:lang w:val="af-ZA"/>
        </w:rPr>
        <w:t xml:space="preserve">bảo tồn và phát huy các di sản văn hóa phi vật thể và di sản thuộc Chương trình ký ức thế giới của tỉnh Hà Tĩnh được UNESCO công nhận. </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zCs w:val="28"/>
          <w:shd w:val="clear" w:color="auto" w:fill="FFFFFF"/>
          <w:lang w:val="af-ZA"/>
        </w:rPr>
      </w:pPr>
      <w:r>
        <w:rPr>
          <w:szCs w:val="28"/>
          <w:lang w:val="af-ZA"/>
        </w:rPr>
        <w:t>Tổ chức chương trình giao lưu văn hóa, văn nghệ, thể thao nhân các chuyến thăm và làm việc của các đoàn khách quốc tế trên địa bàn tỉnh, qua đó góp phần quảng bá hình ảnh, văn hóa, con người Hà Tĩnh ra bên ngoài. Tỉnh phối hợp Liên đoàn Pencak Silat thế giới, Cục Thể dục thể thao Việt Nam tổ chức thành công giải Pencak Silat châu Á năm 2025 thu hút 400 vận động viên từ 10 quốc gia và Việt Nam đã dành vị trí nhất toàn đoàn với 17 huy chương vàng.</w:t>
      </w:r>
      <w:r>
        <w:rPr>
          <w:color w:val="FF0000"/>
          <w:szCs w:val="28"/>
          <w:lang w:val="af-ZA"/>
        </w:rPr>
        <w:t xml:space="preserve"> </w:t>
      </w:r>
      <w:r>
        <w:rPr>
          <w:szCs w:val="28"/>
          <w:lang w:val="af-ZA"/>
        </w:rPr>
        <w:t xml:space="preserve">Ngoài ra, Trường Đại học Hà Tĩnh và các Trường Cao đẳng trên địa bàn đã tổ chức hoạt động thể thao, văn hóa cho lưu học sinh Lào nhân dịp Tết cổ truyền Bunpimay. </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zCs w:val="28"/>
          <w:shd w:val="clear" w:color="auto" w:fill="FFFFFF"/>
          <w:lang w:val="af-ZA"/>
        </w:rPr>
      </w:pPr>
      <w:r>
        <w:rPr>
          <w:b/>
          <w:szCs w:val="28"/>
          <w:lang w:val="af-ZA"/>
        </w:rPr>
        <w:t xml:space="preserve">Công tác thông tin đối ngoại và quản lý hoạt động thông tin, báo chí của phóng viên nước ngoài: </w:t>
      </w:r>
      <w:r>
        <w:rPr>
          <w:spacing w:val="-4"/>
          <w:szCs w:val="28"/>
          <w:lang w:val="af-ZA"/>
        </w:rPr>
        <w:t>Đẩy mạnh tuyên truyền về hoạt động thông tin đối ngoại; phản ánh kịp thời chủ trương, chính sách của Đảng và Nhà nước, những thành tựu phát triển kinh tế, văn hóa, xã hội và hội</w:t>
      </w:r>
      <w:r>
        <w:rPr>
          <w:spacing w:val="-4"/>
          <w:szCs w:val="28"/>
          <w:lang w:val="vi-VN"/>
        </w:rPr>
        <w:t xml:space="preserve"> nhập quốc tế </w:t>
      </w:r>
      <w:r>
        <w:rPr>
          <w:spacing w:val="-4"/>
          <w:szCs w:val="28"/>
          <w:lang w:val="af-ZA"/>
        </w:rPr>
        <w:t>của tỉnh, thu hút sự quan tâm và tạo ấn tượng tốt đẹp với bạn bè trong nước và quốc tế về tỉnh Hà Tĩnh.</w:t>
      </w:r>
      <w:r>
        <w:rPr>
          <w:spacing w:val="-4"/>
          <w:szCs w:val="28"/>
          <w:lang w:val="vi-VN"/>
        </w:rPr>
        <w:t xml:space="preserve"> </w:t>
      </w:r>
    </w:p>
    <w:p>
      <w:pPr>
        <w:widowControl w:val="0"/>
        <w:pBdr>
          <w:top w:val="dotted" w:sz="4" w:space="0" w:color="FFFFFF"/>
          <w:left w:val="dotted" w:sz="4" w:space="0" w:color="FFFFFF"/>
          <w:bottom w:val="dotted" w:sz="4" w:space="8" w:color="FFFFFF"/>
          <w:right w:val="dotted" w:sz="4" w:space="29" w:color="FFFFFF"/>
        </w:pBdr>
        <w:shd w:val="clear" w:color="auto" w:fill="FFFFFF"/>
        <w:tabs>
          <w:tab w:val="left" w:pos="1985"/>
        </w:tabs>
        <w:spacing w:before="120" w:after="120" w:line="240" w:lineRule="auto"/>
        <w:ind w:firstLine="720"/>
        <w:jc w:val="both"/>
        <w:rPr>
          <w:szCs w:val="28"/>
          <w:shd w:val="clear" w:color="auto" w:fill="FFFFFF"/>
          <w:lang w:val="af-ZA"/>
        </w:rPr>
      </w:pPr>
      <w:r>
        <w:rPr>
          <w:spacing w:val="-4"/>
          <w:szCs w:val="28"/>
          <w:lang w:val="vi-VN"/>
        </w:rPr>
        <w:t xml:space="preserve">Công tác quản lý, hướng dẫn phóng viên nước ngoài đúng theo </w:t>
      </w:r>
      <w:r>
        <w:rPr>
          <w:iCs/>
          <w:spacing w:val="-4"/>
          <w:szCs w:val="28"/>
          <w:lang w:val="vi-VN"/>
        </w:rPr>
        <w:t>Nghị định số 88/2012/NĐ-CP</w:t>
      </w:r>
      <w:r>
        <w:rPr>
          <w:iCs/>
          <w:spacing w:val="-4"/>
          <w:szCs w:val="28"/>
          <w:lang w:val="af-ZA"/>
        </w:rPr>
        <w:t>,</w:t>
      </w:r>
      <w:r>
        <w:rPr>
          <w:iCs/>
          <w:spacing w:val="-4"/>
          <w:szCs w:val="28"/>
          <w:lang w:val="vi-VN"/>
        </w:rPr>
        <w:t xml:space="preserve"> ngày 23/10/2012 của Chính phủ quy định về hoạt động thông tin, báo chí của báo chí nước ngoài, cơ quan đại diện nước ngoài, tổ chức nước ngoài tại Việt </w:t>
      </w:r>
      <w:r>
        <w:rPr>
          <w:iCs/>
          <w:spacing w:val="-4"/>
          <w:szCs w:val="28"/>
          <w:lang w:val="vi-VN"/>
        </w:rPr>
        <w:lastRenderedPageBreak/>
        <w:t>Nam và Quyết định số 46/2021/QĐ-UBND</w:t>
      </w:r>
      <w:r>
        <w:rPr>
          <w:iCs/>
          <w:spacing w:val="-4"/>
          <w:szCs w:val="28"/>
          <w:lang w:val="af-ZA"/>
        </w:rPr>
        <w:t>,</w:t>
      </w:r>
      <w:r>
        <w:rPr>
          <w:iCs/>
          <w:spacing w:val="-4"/>
          <w:szCs w:val="28"/>
          <w:lang w:val="vi-VN"/>
        </w:rPr>
        <w:t xml:space="preserve"> ngày 26/10/2021 của </w:t>
      </w:r>
      <w:r>
        <w:rPr>
          <w:iCs/>
          <w:spacing w:val="-4"/>
          <w:szCs w:val="28"/>
          <w:lang w:val="af-ZA"/>
        </w:rPr>
        <w:t>UBND</w:t>
      </w:r>
      <w:r>
        <w:rPr>
          <w:iCs/>
          <w:spacing w:val="-4"/>
          <w:szCs w:val="28"/>
          <w:lang w:val="vi-VN"/>
        </w:rPr>
        <w:t xml:space="preserve"> tỉnh </w:t>
      </w:r>
      <w:r>
        <w:rPr>
          <w:bCs/>
          <w:spacing w:val="-4"/>
          <w:szCs w:val="28"/>
          <w:lang w:val="vi-VN"/>
        </w:rPr>
        <w:t xml:space="preserve">về ban hành Quy chế phối hợp trong công tác quản lý hoạt động thông tin, báo chí của báo chí nước ngoài, cơ quan đại diện nước ngoài, tổ chức nước ngoài trên địa bàn tỉnh Hà Tĩnh. </w:t>
      </w:r>
      <w:r>
        <w:rPr>
          <w:spacing w:val="-4"/>
          <w:szCs w:val="28"/>
          <w:lang w:val="af-ZA"/>
        </w:rPr>
        <w:t xml:space="preserve">Năm 2025, </w:t>
      </w:r>
      <w:r>
        <w:rPr>
          <w:spacing w:val="-4"/>
          <w:szCs w:val="28"/>
          <w:lang w:val="vi-VN"/>
        </w:rPr>
        <w:t>hướng dẫn đoàn công tác Đài Truyền hình NHK, Nhật Bản thực hiện phóng sự giới thiệu về cây trầm hương và quảng bá văn hóa, đất nước, con người Việt Nam trên địa bàn tỉnh</w:t>
      </w:r>
      <w:r>
        <w:rPr>
          <w:bCs/>
          <w:spacing w:val="-4"/>
          <w:szCs w:val="28"/>
          <w:lang w:val="vi-VN"/>
        </w:rPr>
        <w:t xml:space="preserve">. </w:t>
      </w:r>
      <w:r>
        <w:rPr>
          <w:spacing w:val="-4"/>
          <w:szCs w:val="28"/>
          <w:lang w:val="vi-VN"/>
        </w:rPr>
        <w:t>Bên cạnh đó, tỉnh đã quan tâm chỉ đạo chủ động đấu tranh, bác bỏ những thông tin sai trái, xuyên tạc, chống phá sự nghiệp xây dựng và bảo vệ Tổ quốc, chia rẽ khối đại đoàn kết dân tộc, ảnh hưởng đến uy tín, hình ảnh của tỉnh nói riêng và của đất nước nói chung.</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zCs w:val="28"/>
          <w:shd w:val="clear" w:color="auto" w:fill="FFFFFF"/>
          <w:lang w:val="af-ZA"/>
        </w:rPr>
      </w:pPr>
      <w:r>
        <w:rPr>
          <w:b/>
          <w:szCs w:val="28"/>
          <w:lang w:val="af-ZA"/>
        </w:rPr>
        <w:t>Công tác quản lý biên giới lãnh thổ</w:t>
      </w:r>
      <w:r>
        <w:rPr>
          <w:szCs w:val="28"/>
          <w:shd w:val="clear" w:color="auto" w:fill="FFFFFF"/>
          <w:lang w:val="af-ZA"/>
        </w:rPr>
        <w:t xml:space="preserve">: </w:t>
      </w:r>
      <w:r>
        <w:rPr>
          <w:szCs w:val="28"/>
          <w:lang w:val="af-ZA"/>
        </w:rPr>
        <w:t>Tỉnh Hà Tĩnh có 164,488 km biên giới tiếp giáp với 02 tỉnh Bolikhămxay và Khăm Muồn, nước CHDCND Lào, 53 mốc quốc giới và 08 cọc dấu; 07 xã biên giới đất liền, phía ngoại biên tiếp giáp với 27 bản thuộc 02 tỉnh Bolikhămxay, Khăm Muồn, nước CHDCND Lào. Hà Tĩnh và chính quyền các tỉnh bạn Lào có chung đường biên giới triển khai thực hiện hiệu quả nội dung các Hiệp định, Nghị định, Quy chế giữa hai nước Việt Nam - Lào; triển khai hiệu quả Nghị định thư về đường biên giới và mốc quốc giới, Hiệp định về Quy chế quản lý biên giới và cửa khẩu biên giới trên đất liền Việt Nam - Lào, các Biên bản cuộc họp thường niên giữa hai Đoàn đại biểu biên giới hai nước. Lực lượng chức năng tỉnh Hà Tĩnh đã chỉ đạo các đơn vị tổ chức tuần tra kiểm soát, quản lý, bảo vệ biên giới, đã tổ chức tuần tra đơn phương được 69 đợt/493 lượt cán bộ chiến sỹ, tuần tra song phương được 06 đợt/63 lượt cán bộ chiến sỹ tham gia. Hiện nay các cơ quan liên quan tỉnh đang chuẩn bị các điều kiện để phối hợp Ủy ban biên giới quốc gia - Bộ Ngoại giao triển khai Đề án khảo sát đơn phương các mốc quốc giới để đề xuất phương án tu sửa, tôn tạo.</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pacing w:val="-4"/>
          <w:szCs w:val="28"/>
          <w:shd w:val="clear" w:color="auto" w:fill="FFFFFF"/>
          <w:lang w:val="af-ZA"/>
        </w:rPr>
      </w:pPr>
      <w:r>
        <w:rPr>
          <w:spacing w:val="-4"/>
          <w:szCs w:val="28"/>
          <w:lang w:val="af-ZA"/>
        </w:rPr>
        <w:t>Chủ động nắm chắc tình hình, đấu tranh có hiệu quả với các loại tội phạm. Các lực lượng chức năng phát hiện, bắt giữ, xử lý 09 vụ/31 đối tượng phạm tội về buôn lậu, vận chuyển hàng cấm</w:t>
      </w:r>
      <w:r>
        <w:rPr>
          <w:rStyle w:val="FootnoteReference"/>
          <w:spacing w:val="-4"/>
          <w:szCs w:val="28"/>
          <w:lang w:val="af-ZA"/>
        </w:rPr>
        <w:footnoteReference w:id="8"/>
      </w:r>
      <w:r>
        <w:rPr>
          <w:spacing w:val="-4"/>
          <w:szCs w:val="28"/>
          <w:lang w:val="af-ZA"/>
        </w:rPr>
        <w:t>. Bắt giữ, tiếp nhận, trao trả 16 vụ/44 đối tượng tội phạm qua Cửa khẩu Quốc tế Cầu Treo bàn giao cho lực lượng chức năng. Vận động người dân trên địa bàn thu hồi 09 khẩu súng, 490 nòng súng hơi, 02 kích điện, 1,5 kg thuốc pháo.</w:t>
      </w:r>
      <w:r>
        <w:rPr>
          <w:spacing w:val="-4"/>
          <w:szCs w:val="28"/>
          <w:shd w:val="clear" w:color="auto" w:fill="FFFFFF"/>
          <w:lang w:val="af-ZA"/>
        </w:rPr>
        <w:t xml:space="preserve"> </w:t>
      </w:r>
      <w:r>
        <w:rPr>
          <w:spacing w:val="-2"/>
          <w:szCs w:val="28"/>
          <w:lang w:val="af-ZA"/>
        </w:rPr>
        <w:t>Triển khai đồng bộ các biện pháp nghiệp vụ trong công tác quản lý cửa khẩu, kiểm soát xuất nhập cảnh; thực hiện nghiêm quy trình, thủ tục, kiểm tra, kiểm soát xuất nhập khẩu, giám sát biên phòng tại cửa khẩu</w:t>
      </w:r>
      <w:r>
        <w:rPr>
          <w:rStyle w:val="FootnoteReference"/>
          <w:spacing w:val="-2"/>
          <w:szCs w:val="28"/>
          <w:lang w:val="af-ZA"/>
        </w:rPr>
        <w:footnoteReference w:id="9"/>
      </w:r>
      <w:r>
        <w:rPr>
          <w:spacing w:val="-2"/>
          <w:szCs w:val="28"/>
          <w:lang w:val="af-ZA"/>
        </w:rPr>
        <w:t xml:space="preserve">. </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b/>
          <w:szCs w:val="28"/>
          <w:shd w:val="clear" w:color="auto" w:fill="FFFFFF"/>
          <w:lang w:val="af-ZA"/>
        </w:rPr>
      </w:pPr>
      <w:r>
        <w:rPr>
          <w:b/>
          <w:szCs w:val="28"/>
          <w:lang w:val="af-ZA"/>
        </w:rPr>
        <w:t>Biên giới trên biển:</w:t>
      </w:r>
      <w:r>
        <w:rPr>
          <w:b/>
          <w:szCs w:val="28"/>
          <w:shd w:val="clear" w:color="auto" w:fill="FFFFFF"/>
          <w:lang w:val="af-ZA"/>
        </w:rPr>
        <w:t xml:space="preserve"> </w:t>
      </w:r>
      <w:r>
        <w:rPr>
          <w:spacing w:val="-4"/>
          <w:szCs w:val="28"/>
          <w:lang w:val="af-ZA"/>
        </w:rPr>
        <w:t xml:space="preserve">Tình hình tuyến biên giới biển được đảm bảo ổn định. Tỉnh luôn quan tâm đẩy mạnh công tác tuyên truyền phổ biến pháp luật cho cán bộ, đảng viên, lực lượng vũ trang và Nhân dân; tuyên truyền phổ biến, nâng cao cảnh giác chủ động đối </w:t>
      </w:r>
      <w:r>
        <w:rPr>
          <w:spacing w:val="-4"/>
          <w:szCs w:val="28"/>
          <w:lang w:val="af-ZA"/>
        </w:rPr>
        <w:lastRenderedPageBreak/>
        <w:t>phó với các hoạt động bắt giữ của người nước ngoài và báo cáo kịp thời những diễn biến bất thường trên Biển Đông cho các cơ quan chức năng để cùng tập trung giải quyết.</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zCs w:val="28"/>
          <w:shd w:val="clear" w:color="auto" w:fill="FFFFFF"/>
          <w:lang w:val="af-ZA"/>
        </w:rPr>
      </w:pPr>
      <w:r>
        <w:rPr>
          <w:b/>
          <w:szCs w:val="28"/>
          <w:lang w:val="af-ZA"/>
        </w:rPr>
        <w:t>Công tác lãnh sự và bảo hộ công dân</w:t>
      </w:r>
      <w:r>
        <w:rPr>
          <w:szCs w:val="28"/>
          <w:shd w:val="clear" w:color="auto" w:fill="FFFFFF"/>
          <w:lang w:val="af-ZA"/>
        </w:rPr>
        <w:t xml:space="preserve">: </w:t>
      </w:r>
      <w:r>
        <w:rPr>
          <w:szCs w:val="28"/>
          <w:lang w:val="af-ZA"/>
        </w:rPr>
        <w:t xml:space="preserve">Tỉnh tiếp tục quán triệt các sở, ngành, địa phương thực hiện nghiêm túc Quyết định số 39/2020/QĐ-UBND ngày 08/12/2020 của UBND tỉnh ban hành Quy chế phối hợp xử lý các vấn đề về lãnh sự liên quan đến người nước ngoài trên địa bàn tỉnh. Trong năm đã xử lý </w:t>
      </w:r>
      <w:r>
        <w:rPr>
          <w:spacing w:val="-2"/>
          <w:szCs w:val="28"/>
          <w:lang w:val="de-AT"/>
        </w:rPr>
        <w:t>12 vụ việc có liên quan đến yếu tố nước ngoài</w:t>
      </w:r>
      <w:r>
        <w:rPr>
          <w:spacing w:val="-2"/>
          <w:szCs w:val="28"/>
          <w:vertAlign w:val="superscript"/>
        </w:rPr>
        <w:footnoteReference w:id="10"/>
      </w:r>
      <w:r>
        <w:rPr>
          <w:spacing w:val="-2"/>
          <w:szCs w:val="28"/>
          <w:lang w:val="de-AT"/>
        </w:rPr>
        <w:t>; kịp thời làm tốt công tác bảo hộ công dân cho 31 trường hợp của tỉnh</w:t>
      </w:r>
      <w:r>
        <w:rPr>
          <w:spacing w:val="-2"/>
          <w:szCs w:val="28"/>
          <w:vertAlign w:val="superscript"/>
        </w:rPr>
        <w:footnoteReference w:id="11"/>
      </w:r>
      <w:r>
        <w:rPr>
          <w:spacing w:val="-2"/>
          <w:szCs w:val="28"/>
          <w:lang w:val="de-AT"/>
        </w:rPr>
        <w:t>.</w:t>
      </w:r>
      <w:r>
        <w:rPr>
          <w:szCs w:val="28"/>
          <w:lang w:val="af-ZA"/>
        </w:rPr>
        <w:t xml:space="preserve"> </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zCs w:val="28"/>
          <w:shd w:val="clear" w:color="auto" w:fill="FFFFFF"/>
          <w:lang w:val="af-ZA"/>
        </w:rPr>
      </w:pPr>
      <w:r>
        <w:rPr>
          <w:szCs w:val="28"/>
          <w:lang w:val="af-ZA"/>
        </w:rPr>
        <w:t>Năm 2025, tỉnh Hà Tĩnh đã phối hợp với đội MIA Trung ương và Hoa Kỳ triển khai 02 đợt hoạt động chung tìm kiếm MIA trên địa bàn tỉnh</w:t>
      </w:r>
      <w:r>
        <w:rPr>
          <w:rStyle w:val="FootnoteReference"/>
          <w:szCs w:val="28"/>
        </w:rPr>
        <w:footnoteReference w:id="12"/>
      </w:r>
      <w:r>
        <w:rPr>
          <w:szCs w:val="28"/>
          <w:lang w:val="af-ZA"/>
        </w:rPr>
        <w:t>.</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zCs w:val="28"/>
          <w:shd w:val="clear" w:color="auto" w:fill="FFFFFF"/>
          <w:lang w:val="af-ZA"/>
        </w:rPr>
      </w:pPr>
      <w:r>
        <w:rPr>
          <w:b/>
          <w:szCs w:val="28"/>
          <w:lang w:val="af-ZA"/>
        </w:rPr>
        <w:t>Công tác người Việt Nam ở nước ngoài</w:t>
      </w:r>
      <w:r>
        <w:rPr>
          <w:szCs w:val="28"/>
          <w:shd w:val="clear" w:color="auto" w:fill="FFFFFF"/>
          <w:lang w:val="af-ZA"/>
        </w:rPr>
        <w:t xml:space="preserve">: </w:t>
      </w:r>
      <w:r>
        <w:rPr>
          <w:szCs w:val="28"/>
          <w:lang w:val="sq-AL"/>
        </w:rPr>
        <w:t xml:space="preserve">Tiếp tục tuyên truyền các chính sách của Đảng và pháp luật của Nhà nước về công tác người Việt Nam ở nước ngoài; vận động kiều bào và thân nhân kiều bào tham gia đóng góp phát triển quê hương. </w:t>
      </w:r>
      <w:r>
        <w:rPr>
          <w:szCs w:val="28"/>
          <w:shd w:val="clear" w:color="auto" w:fill="FFFFFF"/>
          <w:lang w:val="de-AT" w:eastAsia="vi-VN"/>
        </w:rPr>
        <w:t xml:space="preserve">Hà Tĩnh hiện có hơn 89.301 người đi học tập, công tác, sinh sống và làm việc ở nước ngoài. Cộng đồng người Hà Tĩnh ở nước ngoài luôn chấp hành pháp luật nước sở tại, hướng về xây dựng quê hương, đất nước. </w:t>
      </w:r>
      <w:r>
        <w:rPr>
          <w:szCs w:val="28"/>
          <w:lang w:val="de-AT"/>
        </w:rPr>
        <w:t xml:space="preserve">Phần lớn người Hà Tĩnh ở nước ngoài có cuộc sống ổn định và hòa nhập tốt với môi trường nước sở tại; có đóng góp đối với mối quan hệ giữa nước sở tại với Việt Nam nói chung, giữa các địa phương nơi bà con sinh sống với tỉnh Hà Tĩnh nói riêng, là cầu nối giúp quảng bá hình ảnh Hà Tĩnh, thu hút đầu tư, văn hóa, du lịch ra nước ngoài, kết nối doanh nghiệp kiều bào, doanh nghiệp nước ngoài với doanh nghiệp trong tỉnh. </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zCs w:val="28"/>
          <w:shd w:val="clear" w:color="auto" w:fill="FFFFFF"/>
          <w:lang w:val="af-ZA"/>
        </w:rPr>
      </w:pPr>
      <w:r>
        <w:rPr>
          <w:b/>
          <w:bCs/>
          <w:szCs w:val="28"/>
          <w:lang w:val="af-ZA"/>
        </w:rPr>
        <w:t xml:space="preserve">Công </w:t>
      </w:r>
      <w:r>
        <w:rPr>
          <w:rFonts w:eastAsia="Batang"/>
          <w:b/>
          <w:bCs/>
          <w:szCs w:val="28"/>
          <w:lang w:val="vi-VN"/>
        </w:rPr>
        <w:t xml:space="preserve">tác </w:t>
      </w:r>
      <w:r>
        <w:rPr>
          <w:rFonts w:eastAsia="Batang"/>
          <w:b/>
          <w:bCs/>
          <w:szCs w:val="28"/>
          <w:lang w:val="af-ZA"/>
        </w:rPr>
        <w:t xml:space="preserve">tổ chức </w:t>
      </w:r>
      <w:r>
        <w:rPr>
          <w:rFonts w:eastAsia="Batang"/>
          <w:b/>
          <w:bCs/>
          <w:szCs w:val="28"/>
          <w:lang w:val="vi-VN"/>
        </w:rPr>
        <w:t xml:space="preserve">bộ máy; đào tạo bồi dưỡng đội ngũ cán bộ làm công tác </w:t>
      </w:r>
      <w:r>
        <w:rPr>
          <w:rFonts w:eastAsia="Batang"/>
          <w:b/>
          <w:bCs/>
          <w:szCs w:val="28"/>
          <w:lang w:val="af-ZA"/>
        </w:rPr>
        <w:t xml:space="preserve">đối ngoại: </w:t>
      </w:r>
      <w:r>
        <w:rPr>
          <w:szCs w:val="28"/>
          <w:lang w:val="af-ZA"/>
        </w:rPr>
        <w:t>Nhằm sắp xếp, tinh gọn bộ máy tổ chức, nâng cao chất lượng đội ngũ cán bộ, công chức, nâng cao hiệu quả quản lý nhà nước theo Nghị định 150/2025/NĐ-CP của Chính phủ, tỉnh đã ban hành Quyết định số 3011/QĐ-UBND ngày 02/12/2025</w:t>
      </w:r>
      <w:r>
        <w:rPr>
          <w:spacing w:val="-4"/>
          <w:szCs w:val="28"/>
          <w:lang w:val="af-ZA"/>
        </w:rPr>
        <w:t xml:space="preserve"> Quy định chức năng, nhiệm vụ, quyền hạn và cơ cấu tổ chức của Sở Ngoại vụ</w:t>
      </w:r>
      <w:r>
        <w:rPr>
          <w:szCs w:val="28"/>
          <w:lang w:val="af-ZA"/>
        </w:rPr>
        <w:t>; kịp thời tháo gỡ các khó khăn, vướng mắc của các địa phương, đơn vị trong thực hiện các nhiệm vụ thuộc lĩnh vực đối ngoại sau khi thực hiện mô hình chính quyền địa phương 02 cấp liên quan lĩnh vực đối ngoại.</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zCs w:val="28"/>
          <w:shd w:val="clear" w:color="auto" w:fill="FFFFFF"/>
          <w:lang w:val="vi-VN"/>
        </w:rPr>
      </w:pPr>
      <w:r>
        <w:rPr>
          <w:szCs w:val="28"/>
          <w:lang w:val="af-ZA"/>
        </w:rPr>
        <w:t>C</w:t>
      </w:r>
      <w:r>
        <w:rPr>
          <w:szCs w:val="28"/>
          <w:lang w:val="vi-VN"/>
        </w:rPr>
        <w:t xml:space="preserve">hú trọng đào tạo, nâng cao chất lượng nguồn nhân lực ngoại vụ, đáp ứng yêu cầu ngày càng cao trong bối cảnh hội nhập quốc tế. Trong năm tỉnh đã phối hợp Bộ Ngoại giao tổ chức Lớp Cập nhật kiến thức và nghiệp vụ đối ngoại cho cán bộ lãnh </w:t>
      </w:r>
      <w:r>
        <w:rPr>
          <w:szCs w:val="28"/>
          <w:lang w:val="vi-VN"/>
        </w:rPr>
        <w:lastRenderedPageBreak/>
        <w:t>đạo, chuyên viên các sở, ngành, địa phương.</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pacing w:val="-4"/>
          <w:szCs w:val="28"/>
          <w:shd w:val="clear" w:color="auto" w:fill="FFFFFF"/>
        </w:rPr>
      </w:pPr>
      <w:r>
        <w:rPr>
          <w:spacing w:val="-4"/>
          <w:szCs w:val="28"/>
          <w:lang w:val="vi-VN"/>
        </w:rPr>
        <w:t>Phối hợp tỉnh Bolikhămxay, nước CHDCND Lào tổ chức các lớp bồi dưỡng tiếng Lào; phối hợp Trung tâm Tiếng Anh Khu vực thuộc Đại sứ quán Mỹ tổ chức đào tạo tiếng Anh cho cán bộ, công chức, viên chức nhằm đáp ứng yêu cầu giao tiếp với nước ngoài.</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pacing w:val="-4"/>
          <w:szCs w:val="28"/>
          <w:shd w:val="clear" w:color="auto" w:fill="FFFFFF"/>
          <w:lang w:val="vi-VN"/>
        </w:rPr>
      </w:pPr>
      <w:r>
        <w:rPr>
          <w:szCs w:val="28"/>
          <w:lang w:eastAsia="en-US"/>
        </w:rPr>
        <w:t>Duy trì, nâng cao hiệu quả việc thực hiện Hệ chương trình Quản lý văn bản và hồ sơ công việc; tạo lập 100% danh mục hồ sơ điện tử lên phần mềm; 100% văn bản đi và văn bản đến (trừ văn bản mật) được cập nhật, xử lý trên hệ thống theo quy định; xây dựng văn hóa công sở gắn với thực hiện đạo đức công vụ, tạo chuyển biến tích cực. Tập trung chỉ đạo triển khai các văn bản chỉ đạo, hướng dẫn của Trung ương và của Tỉnh về công tác CCHC; kịp thời ban hành các chương trình, kế hoạch, nhiệm vụ CCHC năm 2025, kế hoạch khắc phục các tồn tại hạn chế trong tổ chức thực hiện công tác CCHC năm 2024; kế hoạch duy trì và cải tiến hệ thống quản lý chất lượng theo TCVN ISO 9001:2015. Q</w:t>
      </w:r>
      <w:r>
        <w:rPr>
          <w:lang w:eastAsia="en-US"/>
        </w:rPr>
        <w:t>uan tâm chỉ đạo, lãnh đạo công tác chuyển đổi số: tổ chức triển khai kế hoạch chuyển đổi số của ngành.</w:t>
      </w:r>
    </w:p>
    <w:p>
      <w:pPr>
        <w:spacing w:before="120" w:after="120" w:line="240" w:lineRule="auto"/>
        <w:ind w:firstLine="720"/>
        <w:jc w:val="both"/>
        <w:rPr>
          <w:i/>
          <w:lang w:eastAsia="en-US"/>
        </w:rPr>
      </w:pPr>
      <w:r>
        <w:rPr>
          <w:i/>
          <w:lang w:eastAsia="en-US"/>
        </w:rPr>
        <w:t xml:space="preserve">Về thực hiện nhiệm vụ khung chương trình: </w:t>
      </w:r>
    </w:p>
    <w:p>
      <w:pPr>
        <w:spacing w:before="120" w:after="120" w:line="240" w:lineRule="auto"/>
        <w:ind w:firstLine="720"/>
        <w:jc w:val="both"/>
        <w:rPr>
          <w:lang w:eastAsia="en-US"/>
        </w:rPr>
      </w:pPr>
      <w:r>
        <w:rPr>
          <w:lang w:eastAsia="en-US"/>
        </w:rPr>
        <w:t>Năm 2025, đăng ký tỉnh 02 chương trình, trong đó chương trình xây dựng dữ liệu ngành Ngoại vụ không thực hiện, nguyên nhân: tỉnh có chủ trương tích hợp dữ liệu dùng chung; chương trình xây dựng phương án giá dịch công không sử dụng ngân sách nhà nước tuy đã hoàn thành cấp sở nhưng đến nay đã trình tỉnh, đang cần phối hợp Sở Tài chính để điều chỉnh một số nội dung theo yêu cầu UBND tỉnh.</w:t>
      </w:r>
    </w:p>
    <w:p>
      <w:pPr>
        <w:spacing w:before="120" w:after="120" w:line="240" w:lineRule="auto"/>
        <w:ind w:firstLine="720"/>
        <w:jc w:val="both"/>
        <w:rPr>
          <w:szCs w:val="28"/>
          <w:lang w:eastAsia="en-US"/>
        </w:rPr>
      </w:pPr>
      <w:r>
        <w:rPr>
          <w:lang w:eastAsia="en-US"/>
        </w:rPr>
        <w:t xml:space="preserve">Đối với chương trình khung tại Sở: 100% chương trình các phòng, đơn vị đăng ký, đã hoàn thành (trong đó có một số chương trình không thực hiện do nhiều nguyên nhân khách quan - </w:t>
      </w:r>
      <w:r>
        <w:rPr>
          <w:i/>
          <w:lang w:eastAsia="en-US"/>
        </w:rPr>
        <w:t>các</w:t>
      </w:r>
      <w:r>
        <w:rPr>
          <w:lang w:eastAsia="en-US"/>
        </w:rPr>
        <w:t xml:space="preserve"> </w:t>
      </w:r>
      <w:r>
        <w:rPr>
          <w:i/>
          <w:lang w:eastAsia="en-US"/>
        </w:rPr>
        <w:t>phụ lục kèm theo</w:t>
      </w:r>
      <w:r>
        <w:rPr>
          <w:lang w:eastAsia="en-US"/>
        </w:rPr>
        <w:t>).</w:t>
      </w:r>
    </w:p>
    <w:p>
      <w:pPr>
        <w:spacing w:before="120" w:after="120" w:line="240" w:lineRule="auto"/>
        <w:ind w:firstLine="720"/>
        <w:jc w:val="both"/>
        <w:rPr>
          <w:lang w:eastAsia="en-US"/>
        </w:rPr>
      </w:pPr>
      <w:r>
        <w:rPr>
          <w:lang w:eastAsia="en-US"/>
        </w:rPr>
        <w:t>- Thực hiện tốt Chương trình hành động thực hiện Chỉ thị số 17-CT/TU của BTV Tỉnh ủy về tăng cường sự lãnh đạo của Đảng trong xây dựng văn hóa công sở. Trong năm, Cơ quan đã thực hiện tốt các nội dung quy định theo chức năng nhiệm vụ nên được công nhận đạt chuẩn văn hóa.</w:t>
      </w:r>
    </w:p>
    <w:p>
      <w:pPr>
        <w:pStyle w:val="Heading2"/>
        <w:spacing w:before="120" w:after="120" w:line="240" w:lineRule="auto"/>
      </w:pPr>
      <w:r>
        <w:t>2. Chỉ đạo xây dựng cơ quan</w:t>
      </w:r>
    </w:p>
    <w:p>
      <w:pPr>
        <w:spacing w:before="120" w:after="120" w:line="240" w:lineRule="auto"/>
        <w:ind w:firstLine="720"/>
        <w:jc w:val="both"/>
        <w:rPr>
          <w:lang w:eastAsia="en-US"/>
        </w:rPr>
      </w:pPr>
      <w:r>
        <w:rPr>
          <w:lang w:eastAsia="en-US"/>
        </w:rPr>
        <w:t>- Chỉ đạo tiếp tục xây dựng văn hóa công sở, tạo sự đoàn kết thực sự, khơi dậy sự sáng tạo trong đội ngũ cán bộ, công chức, viên chức, người lao động.</w:t>
      </w:r>
    </w:p>
    <w:p>
      <w:pPr>
        <w:spacing w:before="120" w:after="120" w:line="240" w:lineRule="auto"/>
        <w:ind w:firstLine="720"/>
        <w:jc w:val="both"/>
        <w:rPr>
          <w:lang w:eastAsia="en-US"/>
        </w:rPr>
      </w:pPr>
      <w:r>
        <w:rPr>
          <w:lang w:eastAsia="en-US"/>
        </w:rPr>
        <w:t>- Chỉ đạo chăm lo đời sống vật chất, tinh thần, cải thiện điều kiện làm việc của cán bộ, công chức và người lao động; thực hiện tốt các chính sách, chế độ, quy định có liên quan trực tiếp đến CBCC-LĐ.</w:t>
      </w:r>
    </w:p>
    <w:p>
      <w:pPr>
        <w:spacing w:before="120" w:after="120" w:line="240" w:lineRule="auto"/>
        <w:ind w:firstLine="720"/>
        <w:jc w:val="both"/>
        <w:rPr>
          <w:lang w:eastAsia="en-US"/>
        </w:rPr>
      </w:pPr>
      <w:r>
        <w:rPr>
          <w:lang w:eastAsia="en-US"/>
        </w:rPr>
        <w:t xml:space="preserve">- Tích cực đấu tranh chống tiêu cực và các tệ nạn xã hội; chấp hành tốt các chủ trương của Đảng, pháp luật của Nhà nước, kỷ luật, kỷ cương hành chính, đạo đức công vụ; Nội quy, quy định của Cơ quan được duy trì phát huy; thực hiện nghiêm túc </w:t>
      </w:r>
      <w:r>
        <w:rPr>
          <w:lang w:eastAsia="en-US"/>
        </w:rPr>
        <w:lastRenderedPageBreak/>
        <w:t>nếp sống văn minh trong việc cưới, việc tang, lễ hội; chấp hành nghiêm pháp luật về an toàn giao thông; chỉ đạo thực hiện công tác từ thiện, nhân đạo, an sinh xã hội đảm bảo theo yêu cầu</w:t>
      </w:r>
      <w:r>
        <w:rPr>
          <w:szCs w:val="28"/>
          <w:lang w:val="nb-NO"/>
        </w:rPr>
        <w:t>.</w:t>
      </w:r>
    </w:p>
    <w:p>
      <w:pPr>
        <w:spacing w:before="120" w:after="120" w:line="240" w:lineRule="auto"/>
        <w:ind w:firstLine="720"/>
        <w:jc w:val="both"/>
        <w:rPr>
          <w:lang w:eastAsia="en-US"/>
        </w:rPr>
      </w:pPr>
      <w:r>
        <w:rPr>
          <w:lang w:eastAsia="en-US"/>
        </w:rPr>
        <w:t>- Lãnh đạo thực hiện nhiệm vụ quốc phòng toàn dân, giữ vững an ninh chính trị và trật tự an toàn xã hội trong đơn vị, bảo vệ tài sản của Nhà nước và của cơ quan: xây dựng lực lượng tự vệ, đảm bảo về số lượng, chất lượng. Tổ chức tham gia huấn luyện tự vệ đạt kết quả tốt. Sở bố trí bảo vệ cơ quan trực 24/24, xây dựng kế hoạch trực, bảo vệ công tác ANTT trong các ngày lễ, Tết. Trong năm không để xẩy ra các vụ, việc làm mất an ninh trật tự, mất tài sản tại cơ quan.</w:t>
      </w:r>
    </w:p>
    <w:p>
      <w:pPr>
        <w:spacing w:before="120" w:after="120" w:line="240" w:lineRule="auto"/>
        <w:ind w:firstLine="720"/>
        <w:jc w:val="both"/>
        <w:rPr>
          <w:lang w:eastAsia="en-US"/>
        </w:rPr>
      </w:pPr>
      <w:r>
        <w:rPr>
          <w:lang w:eastAsia="en-US"/>
        </w:rPr>
        <w:t>- Chỉ đạo chuyên môn phối hợp chặt chẽ với các tổ chức đoàn thể quán triệt, triển khai kịp thời các văn bản; Ban hành các Quyết định về dân chủ cơ sở; tổ chức rà soát, xây dựng, thực hiện quy chế dân chủ cơ sở, làm tốt công tác tuyên truyền, phổ biến đến từng phòng, đơn vị, từ đó phát huy được vai trò, trách nhiệm trong việc thực hiện nhiệm vụ chính trị của ngành.</w:t>
      </w:r>
    </w:p>
    <w:p>
      <w:pPr>
        <w:pStyle w:val="Heading1"/>
        <w:spacing w:before="120" w:after="120" w:line="240" w:lineRule="auto"/>
      </w:pPr>
      <w:r>
        <w:t xml:space="preserve">B. KHUYẾT ĐIỂM, HẠN CHẾ VÀ NGUYÊN NHÂN </w:t>
      </w:r>
    </w:p>
    <w:p>
      <w:pPr>
        <w:pStyle w:val="Heading2"/>
        <w:spacing w:before="120" w:after="120" w:line="240" w:lineRule="auto"/>
      </w:pPr>
      <w:r>
        <w:t>I. Khuyết điểm, hạn chế</w:t>
      </w:r>
    </w:p>
    <w:p>
      <w:pPr>
        <w:pStyle w:val="Heading2"/>
        <w:spacing w:before="120" w:after="120" w:line="240" w:lineRule="auto"/>
      </w:pPr>
      <w:r>
        <w:t>1. Trong lãnh đạo công tác xây dựng Đảng và hoạt động của đoàn thể</w:t>
      </w:r>
    </w:p>
    <w:p>
      <w:pPr>
        <w:pStyle w:val="Heading2"/>
        <w:spacing w:before="120" w:after="120" w:line="240" w:lineRule="auto"/>
        <w:rPr>
          <w:b w:val="0"/>
          <w:bCs/>
        </w:rPr>
      </w:pPr>
      <w:r>
        <w:rPr>
          <w:b w:val="0"/>
        </w:rPr>
        <w:t xml:space="preserve">- Việc triển khai </w:t>
      </w:r>
      <w:r>
        <w:rPr>
          <w:b w:val="0"/>
          <w:bCs/>
          <w:lang w:val="vi-VN"/>
        </w:rPr>
        <w:t xml:space="preserve">sinh hoạt </w:t>
      </w:r>
      <w:r>
        <w:rPr>
          <w:b w:val="0"/>
          <w:bCs/>
        </w:rPr>
        <w:t xml:space="preserve">thường kỳ, sinh hoạt </w:t>
      </w:r>
      <w:r>
        <w:rPr>
          <w:b w:val="0"/>
          <w:bCs/>
          <w:lang w:val="vi-VN"/>
        </w:rPr>
        <w:t xml:space="preserve">chuyên </w:t>
      </w:r>
      <w:r>
        <w:rPr>
          <w:rFonts w:hint="eastAsia"/>
          <w:b w:val="0"/>
          <w:bCs/>
          <w:lang w:val="vi-VN"/>
        </w:rPr>
        <w:t>đ</w:t>
      </w:r>
      <w:r>
        <w:rPr>
          <w:b w:val="0"/>
          <w:bCs/>
          <w:lang w:val="vi-VN"/>
        </w:rPr>
        <w:t xml:space="preserve">ề hoàn thành theo quy </w:t>
      </w:r>
      <w:r>
        <w:rPr>
          <w:rFonts w:hint="eastAsia"/>
          <w:b w:val="0"/>
          <w:bCs/>
          <w:lang w:val="vi-VN"/>
        </w:rPr>
        <w:t>đ</w:t>
      </w:r>
      <w:r>
        <w:rPr>
          <w:b w:val="0"/>
          <w:bCs/>
          <w:lang w:val="vi-VN"/>
        </w:rPr>
        <w:t xml:space="preserve">ịnh của </w:t>
      </w:r>
      <w:r>
        <w:rPr>
          <w:rFonts w:hint="eastAsia"/>
          <w:b w:val="0"/>
          <w:bCs/>
          <w:lang w:val="vi-VN"/>
        </w:rPr>
        <w:t>Đ</w:t>
      </w:r>
      <w:r>
        <w:rPr>
          <w:b w:val="0"/>
          <w:bCs/>
          <w:lang w:val="vi-VN"/>
        </w:rPr>
        <w:t xml:space="preserve">ảng ủy cấp trên, </w:t>
      </w:r>
      <w:r>
        <w:rPr>
          <w:b w:val="0"/>
          <w:bCs/>
        </w:rPr>
        <w:t>so với năm 2025 tuy đã có quan tâm nhưng nội dung sinh hoạt chuyên đề nhìn chung chưa thực sự phong phú.</w:t>
      </w:r>
    </w:p>
    <w:p>
      <w:pPr>
        <w:pStyle w:val="Heading2"/>
        <w:spacing w:before="120" w:after="120" w:line="240" w:lineRule="auto"/>
        <w:rPr>
          <w:b w:val="0"/>
        </w:rPr>
      </w:pPr>
      <w:r>
        <w:rPr>
          <w:b w:val="0"/>
        </w:rPr>
        <w:t>- Hoạt động của Đoàn Thanh niên chưa có dấu ấn riêng của ngành đối ngoại,  số lượng Đoàn viên sinh hoạt ít, 100% đoàn viên là nữ đang chăm con nhỏ nên việc tổ chức các hoạt động cũng như phát động tham gia đầy đủ các phong trào còn gặp nhiều khó khăn.</w:t>
      </w:r>
    </w:p>
    <w:p>
      <w:pPr>
        <w:ind w:firstLine="720"/>
        <w:jc w:val="both"/>
        <w:rPr>
          <w:lang w:eastAsia="en-US"/>
        </w:rPr>
      </w:pPr>
      <w:r>
        <w:rPr>
          <w:lang w:eastAsia="en-US"/>
        </w:rPr>
        <w:t xml:space="preserve">Nguyên nhân: Sau chính quyền địa phương 02 cấp, có sự thay đổi mới trong lãnh đạo tại đơn vị cũng như nhiều thời điểm công việc nhiều nên việc tổ chức sinh hoạt Chi bộ chưa thực sự thường xuyên.  </w:t>
      </w:r>
    </w:p>
    <w:p>
      <w:pPr>
        <w:pStyle w:val="Heading2"/>
        <w:spacing w:before="120" w:after="120" w:line="240" w:lineRule="auto"/>
      </w:pPr>
      <w:r>
        <w:t>2. Về lãnh đạo thực hiện nhiệm vụ chính trị</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zCs w:val="28"/>
          <w:shd w:val="clear" w:color="auto" w:fill="FFFFFF"/>
          <w:lang w:val="af-ZA"/>
        </w:rPr>
      </w:pPr>
      <w:r>
        <w:rPr>
          <w:szCs w:val="28"/>
        </w:rPr>
        <w:t>+</w:t>
      </w:r>
      <w:r>
        <w:rPr>
          <w:szCs w:val="28"/>
          <w:lang w:val="vi-VN"/>
        </w:rPr>
        <w:t xml:space="preserve"> Hiện nay, nhiều tổ chức phi chính phủ nước ngoài có xu hướng thu hẹp địa bàn, tài chính và lĩnh vực hoạt động ảnh hưởng đến việc kêu gọi và thu hút viện trợ cho tỉnh Hà Tĩnh.</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zCs w:val="28"/>
          <w:shd w:val="clear" w:color="auto" w:fill="FFFFFF"/>
          <w:lang w:val="af-ZA"/>
        </w:rPr>
      </w:pPr>
      <w:r>
        <w:rPr>
          <w:szCs w:val="28"/>
        </w:rPr>
        <w:t>+</w:t>
      </w:r>
      <w:r>
        <w:rPr>
          <w:szCs w:val="28"/>
          <w:lang w:val="de-AT"/>
        </w:rPr>
        <w:t xml:space="preserve"> Dự án mở rộng và nâng cấp tuyến đường nối liền giữa cửa khẩu quốc tế Cầu Treo - Nậm Phao (đoạn phía Lào) chưa được triển khai, ảnh hưởng đến giao thương qua lại của Nhân dân hai nước và công tác xuất - nhập khẩu hàng hóa.</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pacing w:val="-4"/>
          <w:szCs w:val="28"/>
          <w:lang w:val="de-AT"/>
        </w:rPr>
      </w:pPr>
      <w:r>
        <w:rPr>
          <w:spacing w:val="-4"/>
          <w:szCs w:val="28"/>
          <w:lang w:val="de-AT"/>
        </w:rPr>
        <w:t>+</w:t>
      </w:r>
      <w:r>
        <w:rPr>
          <w:spacing w:val="-4"/>
          <w:szCs w:val="28"/>
          <w:lang w:val="vi-VN"/>
        </w:rPr>
        <w:t xml:space="preserve"> </w:t>
      </w:r>
      <w:r>
        <w:rPr>
          <w:spacing w:val="-4"/>
          <w:szCs w:val="28"/>
          <w:lang w:val="de-AT"/>
        </w:rPr>
        <w:t>Việc vận động cộng đồng người Hà Tĩnh ở nước ngoài hướng về đầu tư, hỗ trợ xây dựng quê hương còn hạn chế.</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pacing w:val="-4"/>
          <w:szCs w:val="28"/>
          <w:lang w:val="de-AT"/>
        </w:rPr>
      </w:pPr>
      <w:r>
        <w:rPr>
          <w:spacing w:val="-4"/>
          <w:szCs w:val="28"/>
          <w:lang w:val="de-AT"/>
        </w:rPr>
        <w:lastRenderedPageBreak/>
        <w:t>+  Một số đơn vị đề xuất và thực hiện tổ chức một số Hội nghị, hội thảo quốc tế, đoàn ra - đoàn vào chưa đảm bảo thời gian theo quy định.</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pacing w:val="-4"/>
          <w:szCs w:val="28"/>
          <w:lang w:val="de-AT"/>
        </w:rPr>
      </w:pPr>
      <w:r>
        <w:rPr>
          <w:spacing w:val="-4"/>
          <w:szCs w:val="28"/>
          <w:lang w:val="de-AT"/>
        </w:rPr>
        <w:t xml:space="preserve">+  </w:t>
      </w:r>
      <w:r>
        <w:rPr>
          <w:szCs w:val="28"/>
          <w:lang w:val="sq-AL"/>
        </w:rPr>
        <w:t>Hiện nay, tỉnh Hà Tĩnh vẫn chưa ký kết được nhiều thỏa thuận quốc tế với các đối tác nước ngoài lớn, các địa phương có tiềm năng của các nước Hàn Quốc, Nhật Bản, các nước Châu Âu…; các sở, ngành địa phương vẫn đang giới hạn phạm vi ký kết thỏa thuận với các sở, ngành địa phương các tỉnh của Lào, chưa tìm kiếm được các đối tác khác trong khu vực và trên thế giới.</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pacing w:val="-4"/>
          <w:szCs w:val="28"/>
          <w:lang w:val="sq-AL"/>
        </w:rPr>
      </w:pPr>
      <w:r>
        <w:rPr>
          <w:spacing w:val="-4"/>
          <w:szCs w:val="28"/>
          <w:lang w:val="sq-AL"/>
        </w:rPr>
        <w:t>+ Công tác xúc tiến đầu tư chưa thật sự tương xứng với tiềm năng lợi thế của tỉnh. Công tác tổ chức đoàn ra chưa thực hiện được theo kế hoạch.</w:t>
      </w:r>
    </w:p>
    <w:p>
      <w:pPr>
        <w:pBdr>
          <w:top w:val="dotted" w:sz="4" w:space="0" w:color="FFFFFF"/>
          <w:left w:val="dotted" w:sz="4" w:space="0" w:color="FFFFFF"/>
          <w:bottom w:val="dotted" w:sz="4" w:space="7" w:color="FFFFFF"/>
          <w:right w:val="dotted" w:sz="4" w:space="29" w:color="FFFFFF"/>
        </w:pBdr>
        <w:shd w:val="clear" w:color="auto" w:fill="FFFFFF"/>
        <w:spacing w:line="288" w:lineRule="auto"/>
        <w:ind w:firstLine="720"/>
        <w:jc w:val="both"/>
        <w:rPr>
          <w:bCs/>
          <w:i/>
          <w:iCs/>
          <w:color w:val="EE0000"/>
          <w:szCs w:val="28"/>
          <w:lang w:val="de-AT"/>
        </w:rPr>
      </w:pPr>
      <w:bookmarkStart w:id="1" w:name="_GoBack"/>
      <w:bookmarkEnd w:id="1"/>
      <w:r>
        <w:rPr>
          <w:bCs/>
          <w:i/>
          <w:iCs/>
          <w:szCs w:val="28"/>
          <w:lang w:val="de-AT"/>
        </w:rPr>
        <w:t xml:space="preserve">Nguyên nhân: </w:t>
      </w:r>
    </w:p>
    <w:p>
      <w:pPr>
        <w:pBdr>
          <w:top w:val="dotted" w:sz="4" w:space="0" w:color="FFFFFF"/>
          <w:left w:val="dotted" w:sz="4" w:space="0" w:color="FFFFFF"/>
          <w:bottom w:val="dotted" w:sz="4" w:space="7" w:color="FFFFFF"/>
          <w:right w:val="dotted" w:sz="4" w:space="29" w:color="FFFFFF"/>
        </w:pBdr>
        <w:shd w:val="clear" w:color="auto" w:fill="FFFFFF"/>
        <w:spacing w:line="288" w:lineRule="auto"/>
        <w:ind w:firstLine="720"/>
        <w:jc w:val="both"/>
        <w:rPr>
          <w:szCs w:val="28"/>
          <w:shd w:val="clear" w:color="auto" w:fill="FFFFFF"/>
          <w:lang w:val="af-ZA"/>
        </w:rPr>
      </w:pPr>
      <w:r>
        <w:rPr>
          <w:szCs w:val="28"/>
          <w:lang w:val="sv-SE"/>
        </w:rPr>
        <w:t xml:space="preserve">- </w:t>
      </w:r>
      <w:r>
        <w:rPr>
          <w:szCs w:val="28"/>
          <w:lang w:val="de-AT"/>
        </w:rPr>
        <w:t>Tình hình thế giới, khu vực diễn biến phức tạp; biến đổi khí hậu, thiên tai, dịch bệnh</w:t>
      </w:r>
      <w:r>
        <w:rPr>
          <w:szCs w:val="28"/>
          <w:lang w:val="vi-VN"/>
        </w:rPr>
        <w:t xml:space="preserve"> </w:t>
      </w:r>
      <w:r>
        <w:rPr>
          <w:szCs w:val="28"/>
          <w:lang w:val="de-AT"/>
        </w:rPr>
        <w:t xml:space="preserve">ảnh hưởng nhiều đến công tác đối ngoại của tỉnh nhà. </w:t>
      </w:r>
    </w:p>
    <w:p>
      <w:pPr>
        <w:pBdr>
          <w:top w:val="dotted" w:sz="4" w:space="0" w:color="FFFFFF"/>
          <w:left w:val="dotted" w:sz="4" w:space="0" w:color="FFFFFF"/>
          <w:bottom w:val="dotted" w:sz="4" w:space="7" w:color="FFFFFF"/>
          <w:right w:val="dotted" w:sz="4" w:space="29" w:color="FFFFFF"/>
        </w:pBdr>
        <w:shd w:val="clear" w:color="auto" w:fill="FFFFFF"/>
        <w:spacing w:line="288" w:lineRule="auto"/>
        <w:ind w:firstLine="720"/>
        <w:jc w:val="both"/>
        <w:rPr>
          <w:szCs w:val="28"/>
          <w:shd w:val="clear" w:color="auto" w:fill="FFFFFF"/>
          <w:lang w:val="af-ZA"/>
        </w:rPr>
      </w:pPr>
      <w:r>
        <w:rPr>
          <w:szCs w:val="28"/>
          <w:lang w:val="de-DE"/>
        </w:rPr>
        <w:t xml:space="preserve">- </w:t>
      </w:r>
      <w:r>
        <w:rPr>
          <w:szCs w:val="28"/>
          <w:lang w:val="de-AT"/>
        </w:rPr>
        <w:t>Việc</w:t>
      </w:r>
      <w:r>
        <w:rPr>
          <w:szCs w:val="28"/>
          <w:lang w:val="de-DE"/>
        </w:rPr>
        <w:t xml:space="preserve"> thiết lập các đầu mối tại các nước có người Hà Tĩnh đang làm việc, sinh sống cập nhật số liệu đang còn khó khăn, đặc biệt là kiều bào tiêu biểu.</w:t>
      </w:r>
    </w:p>
    <w:p>
      <w:pPr>
        <w:pBdr>
          <w:top w:val="dotted" w:sz="4" w:space="0" w:color="FFFFFF"/>
          <w:left w:val="dotted" w:sz="4" w:space="0" w:color="FFFFFF"/>
          <w:bottom w:val="dotted" w:sz="4" w:space="7" w:color="FFFFFF"/>
          <w:right w:val="dotted" w:sz="4" w:space="29" w:color="FFFFFF"/>
        </w:pBdr>
        <w:shd w:val="clear" w:color="auto" w:fill="FFFFFF"/>
        <w:spacing w:line="288" w:lineRule="auto"/>
        <w:ind w:firstLine="720"/>
        <w:jc w:val="both"/>
        <w:rPr>
          <w:szCs w:val="28"/>
          <w:lang w:val="pt-BR"/>
        </w:rPr>
      </w:pPr>
      <w:r>
        <w:rPr>
          <w:szCs w:val="28"/>
          <w:lang w:val="pt-BR"/>
        </w:rPr>
        <w:t xml:space="preserve">- Các đối tác lớn, các nước như Hàn Quốc, Nhật Bản, các nước Châu Âu thường khắt khe hơn, đi sâu vào các ngành, lĩnh vực cụ thể trong khi việc tham gia của các địa phương, các ngành trong việc ký kết còn hạn chế. </w:t>
      </w:r>
    </w:p>
    <w:p>
      <w:pPr>
        <w:pBdr>
          <w:top w:val="dotted" w:sz="4" w:space="0" w:color="FFFFFF"/>
          <w:left w:val="dotted" w:sz="4" w:space="0" w:color="FFFFFF"/>
          <w:bottom w:val="dotted" w:sz="4" w:space="7" w:color="FFFFFF"/>
          <w:right w:val="dotted" w:sz="4" w:space="29" w:color="FFFFFF"/>
        </w:pBdr>
        <w:shd w:val="clear" w:color="auto" w:fill="FFFFFF"/>
        <w:spacing w:line="288" w:lineRule="auto"/>
        <w:ind w:firstLine="720"/>
        <w:jc w:val="both"/>
        <w:rPr>
          <w:szCs w:val="28"/>
          <w:lang w:val="de-AT"/>
        </w:rPr>
      </w:pPr>
      <w:r>
        <w:rPr>
          <w:szCs w:val="28"/>
          <w:lang w:val="sv-SE"/>
        </w:rPr>
        <w:t xml:space="preserve">- </w:t>
      </w:r>
      <w:r>
        <w:rPr>
          <w:szCs w:val="28"/>
          <w:lang w:val="de-AT"/>
        </w:rPr>
        <w:t>Tình hình thế giới, khu vực diễn biến phức tạp; biến đổi khí hậu, thiên tai, dịch bệnh</w:t>
      </w:r>
      <w:r>
        <w:rPr>
          <w:szCs w:val="28"/>
          <w:lang w:val="vi-VN"/>
        </w:rPr>
        <w:t xml:space="preserve"> </w:t>
      </w:r>
      <w:r>
        <w:rPr>
          <w:szCs w:val="28"/>
          <w:lang w:val="de-AT"/>
        </w:rPr>
        <w:t>ảnh hưởng nhiều đến công tác đối ngoại. Năm 2025, toàn tỉnh tập trung chỉ đạo và vận hành hoạt động chính quyền địa phương 2 cấp, chuẩn bị cho công tác Đại hội đảng các cấp nên việc tổ chức đoàn ra cũng như triển khai một số hoạt động đối ngoại khác chưa thực hiện được theo kế hoạch.</w:t>
      </w:r>
    </w:p>
    <w:p>
      <w:pPr>
        <w:pBdr>
          <w:top w:val="dotted" w:sz="4" w:space="0" w:color="FFFFFF"/>
          <w:left w:val="dotted" w:sz="4" w:space="0" w:color="FFFFFF"/>
          <w:bottom w:val="dotted" w:sz="4" w:space="7" w:color="FFFFFF"/>
          <w:right w:val="dotted" w:sz="4" w:space="29" w:color="FFFFFF"/>
        </w:pBdr>
        <w:shd w:val="clear" w:color="auto" w:fill="FFFFFF"/>
        <w:spacing w:line="288" w:lineRule="auto"/>
        <w:ind w:firstLine="720"/>
        <w:jc w:val="both"/>
        <w:rPr>
          <w:szCs w:val="28"/>
          <w:lang w:val="de-AT"/>
        </w:rPr>
      </w:pPr>
      <w:r>
        <w:rPr>
          <w:b/>
        </w:rPr>
        <w:t>3. Công tác hành chính, kỷ cương, vận hành tại cơ quan</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pPr>
      <w:r>
        <w:t>+ Một số CBCCVC có thời điểm chưa nghiêm túc trong giờ giấc làm việc, vẫn còn tình trạng đi làm chậm.</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pPr>
      <w:r>
        <w:t>Nguyên nhân: công tác kiểm tra, giám sát chưa chặt chẽ, chưa xây dựng được tiêu chí thi đua, xếp loại trong cơ quan.</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pPr>
      <w:r>
        <w:t>+ Một số nhiệm vụ tuy đã hoàn thành nhưng chậm tiến độ, kế hoạch đề ra.</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pPr>
      <w:r>
        <w:t>Nguyên nhân: Tuy có kiểm tra, giám sát nhưng trình độ, năng lực một số bộ phận còn hạn chế nhất định.</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pPr>
      <w:r>
        <w:t>+ Trình độ CBCCVC tại các phòng chưa thực sự đồng đều; nhiều công chức, viên chức mới vào ngành còn thiếu kinh nghiệm công tác.</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b/>
        </w:rPr>
      </w:pPr>
      <w:r>
        <w:rPr>
          <w:b/>
        </w:rPr>
        <w:lastRenderedPageBreak/>
        <w:t>C. NHIỆM VỤ VÀ CÁC GIẢI PHÁP CHỦ YẾU NĂM 2026</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b/>
          <w:spacing w:val="-2"/>
          <w:lang w:eastAsia="en-US"/>
        </w:rPr>
      </w:pPr>
      <w:r>
        <w:rPr>
          <w:spacing w:val="-2"/>
          <w:lang w:eastAsia="en-US"/>
        </w:rPr>
        <w:t>Năm 2026 là năm có ý nghĩa quan trọng, diễn ra Đại hội toàn quốc lần thứ XIV của Đảng, tổ chức bầu cử đại biểu Quốc hội khóa XVI và đại biểu Hội đồng nhân dân các cấp, là năm đầu triển khai Kế hoạch phát triển kinh tế - xã hội 5 năm 2026-2030. Trên có sở đó, Chi bộ Sở Ngoại vụ xác định những nhiệm vụ và giải pháp cần tập trung thực hiện như sau</w:t>
      </w:r>
      <w:r>
        <w:rPr>
          <w:b/>
          <w:spacing w:val="-2"/>
          <w:lang w:eastAsia="en-US"/>
        </w:rPr>
        <w:t>:</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b/>
          <w:spacing w:val="-2"/>
          <w:lang w:eastAsia="en-US"/>
        </w:rPr>
      </w:pPr>
      <w:r>
        <w:rPr>
          <w:b/>
          <w:spacing w:val="-2"/>
          <w:lang w:eastAsia="en-US"/>
        </w:rPr>
        <w:t>I. CÔNG TÁC LÃNH ĐẠO CÔNG TÁC ĐẢNG, ĐOÀN THỂ</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i/>
        </w:rPr>
      </w:pPr>
      <w:r>
        <w:rPr>
          <w:i/>
        </w:rPr>
        <w:t>1. Công tác tuyên truyền, giáo dục chính trị, tư tưởng cho cán bộ, đảng viên, đoàn viên.</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pPr>
      <w:r>
        <w:t>- Đa dạng hóa hình thức học tập, phổ biến, tuyên truyền, giáo dục chủ nghĩa Mác - Lênin, tư tưởng Hồ Chí Minh, bảo vệ nền tảng tư tưởng của Đảng, nâng cao bản lĩnh chính trị, ý thức tổ chức kỷ luật, phẩm chất đạo đức, lối sống, tinh thần cảnh giác cách mạng... quán triệt các chủ trương của Đảng, chính sách pháp luật của Nhà nước, các nghị quyết, chỉ thị của cấp ủy, chính quyền, phòng, chống “tự diễn biến”, “tự chuyển hóa” trong nội bộ; tăng cường công tác đấu tranh với các thế lực thù địch xuyên tạc, chống phá Đảng, Nhà nước. Triển khai hiệu quả Quy định số 144-QĐ/TW ngày 09/5/2024 của Bộ Chính trị về chuẩn mực đạo đức cách mạng của cán bộ, đảng viên.</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zCs w:val="28"/>
          <w:lang w:val="pt-BR"/>
        </w:rPr>
      </w:pPr>
      <w:r>
        <w:t xml:space="preserve">- Xây dựng và tổ chức thực hiện nội dung chuyên đề năm 2026 về học tập và làm theo tư tưởng, đạo đức, phong cách Hồ Chí Minh. Tăng cường triển khai, đổi mới, cụ thể hóa nội dung các chuyên đề sinh hoạt trong học tập và làm theo tư tưởng, đạo đức, phong cách Hồ Chí Minh gắn với các quy định về nêu gương của cán bộ, đảng viên… theo Kết luận số 01-KL/TW về tiếp tục thực hiện Chỉ thị số 05-CT/TW của Bộ Chính trị “về đẩy mạnh học tập và làm theo tư tưởng, đạo đức, phong cách Hồ Chí Minh”. </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i/>
        </w:rPr>
      </w:pPr>
      <w:r>
        <w:rPr>
          <w:bCs/>
          <w:i/>
          <w:szCs w:val="28"/>
          <w:lang w:val="af-ZA"/>
        </w:rPr>
        <w:t xml:space="preserve">2. </w:t>
      </w:r>
      <w:r>
        <w:rPr>
          <w:i/>
        </w:rPr>
        <w:t xml:space="preserve">Công tác kiểm tra, giám sát trong Chi bộ: </w:t>
      </w:r>
      <w:r>
        <w:t>Hằng năm xây dựng Kế hoạch kiểm tra, giám sát của Chi bộ, tích cực đấu tranh, phòng ngừa chống tiêu cực, tham nhũng, lãng phí; đẩy lùi các biểu hiện suy thoái về tư tưởng, chính trị, đạo đức lối sống; định kỳ hàng năm thực hiện báo cáo, giải quyết các khiếu nại, tố cáo các sự vụ sự việc, kê khai tài sản kịp thời, đúng quy định; cải tiến nội dung, phương thức hoạt động của cấp uỷ, nâng cao năng lực lãnh đạo, sức chiến đấu của Chi bộ.</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i/>
        </w:rPr>
      </w:pPr>
      <w:r>
        <w:rPr>
          <w:i/>
        </w:rPr>
        <w:t xml:space="preserve">3. Xây dựng công tác Đoàn và phong trào thanh niên: </w:t>
      </w:r>
      <w:r>
        <w:t xml:space="preserve">Chỉ đạo Đoàn Thanh niên Sở thực hiện Nghị quyết Đại hội đại biểu Đoàn Thanh niên tỉnh Hà Tĩnh nhiệm kỳ 2025 – 2030 và Nghị quyết Đại hội đại biểu Đoàn UBND tỉnh lần thứ I bằng nhiều công trình, phần việc, sản phẩm thiết thực, ý nghĩa; </w:t>
      </w:r>
      <w:r>
        <w:rPr>
          <w:bCs/>
          <w:color w:val="000000" w:themeColor="text1"/>
          <w:spacing w:val="4"/>
          <w:szCs w:val="28"/>
          <w:lang w:val="pl-PL"/>
        </w:rPr>
        <w:t>tiếp tục đổi mới phương thức hoạt động của Đoàn phù hợp với tình hình mới; tăng cường công tác giáo dục, bồi dưỡng chính trị, tư tưởng cho đoàn viên thanh niên;</w:t>
      </w:r>
      <w:r>
        <w:rPr>
          <w:bCs/>
          <w:color w:val="000000" w:themeColor="text1"/>
          <w:szCs w:val="28"/>
          <w:lang w:val="pl-PL"/>
        </w:rPr>
        <w:t xml:space="preserve"> Nâng cao năng lực số, làm chủ khoa học công nghệ, đổi mới sáng tạo cho ĐVTN; Xây dựng thế hệ trẻ ngành ngoại vụ toàn diện về kỹ năng, giỏi về chuyên môn, tiên phong trong hội nhập quốc tế. </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b/>
        </w:rPr>
      </w:pPr>
      <w:r>
        <w:rPr>
          <w:b/>
        </w:rPr>
        <w:lastRenderedPageBreak/>
        <w:t>II. LÃNH ĐẠO THỰC HIỆN NHIỆM VỤ CHÍNH TRỊ</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bCs/>
          <w:i/>
          <w:szCs w:val="28"/>
          <w:lang w:val="af-ZA"/>
        </w:rPr>
      </w:pPr>
      <w:r>
        <w:rPr>
          <w:bCs/>
          <w:i/>
          <w:szCs w:val="28"/>
          <w:lang w:val="af-ZA"/>
        </w:rPr>
        <w:t xml:space="preserve">1. Tiếp tục nâng cao hiệu quả quản lý nhà nước trên lĩnh vực đối ngoại </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zCs w:val="28"/>
          <w:lang w:val="af-ZA"/>
        </w:rPr>
      </w:pPr>
      <w:r>
        <w:rPr>
          <w:bCs/>
          <w:szCs w:val="28"/>
          <w:lang w:val="af-ZA"/>
        </w:rPr>
        <w:t>- Tham mưu tỉnh ban hành hệ thống các quy chế, quy định, văn bản quy phạm pháp luật của tỉnh trên lĩnh vực đối ngoại, đảm bảo việc triển khai thống nhất các quy định trên địa bàn tỉnh, tập trung các lĩnh vực quản lý đoàn ra - đoàn vào;</w:t>
      </w:r>
      <w:r>
        <w:rPr>
          <w:szCs w:val="28"/>
          <w:lang w:val="af-ZA"/>
        </w:rPr>
        <w:t xml:space="preserve"> quản lý hội nghị, hội thảo quốc tế; ký kết thỏa thuận quốc tế.</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zCs w:val="28"/>
          <w:lang w:val="af-ZA"/>
        </w:rPr>
      </w:pPr>
      <w:r>
        <w:rPr>
          <w:szCs w:val="28"/>
          <w:lang w:val="af-ZA"/>
        </w:rPr>
        <w:t>- Kịp thời tham mưu tỉnh Kế hoạch đối ngoại hội nhập quốc tế năm 2026; Kế hoạch đoàn ra đoàn vào năm 2026, các văn bản chỉ đạo và các nhiệm vụ khác theo chức năng, quyền hạn của Sở.</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pacing w:val="-2"/>
          <w:szCs w:val="28"/>
          <w:lang w:val="af-ZA"/>
        </w:rPr>
      </w:pPr>
      <w:r>
        <w:rPr>
          <w:spacing w:val="-2"/>
          <w:szCs w:val="28"/>
          <w:lang w:val="af-ZA"/>
        </w:rPr>
        <w:t xml:space="preserve">- </w:t>
      </w:r>
      <w:r>
        <w:rPr>
          <w:szCs w:val="28"/>
          <w:lang w:val="af-ZA"/>
        </w:rPr>
        <w:t>Thực hiện nghiêm túc và hiệu quả Nghị quyết số 59-NQ/TW ngày 24/01/2025 của Bộ Chính trị về Hội nhập quốc tế trong tình hình mới, Chương trình hành động số 44-CTr/TU, ngày 21/5/2025 của Ban Thường vụ Tỉnh ủy và Kế hoạch số 352/KH-UBND, ngày 27/6/2025 của Ủy ban nhân dân tỉnh triển khai thực hiện Nghị quyết số 153/NQ-CP ngày 31/5/2025 của Chính phủ ban hành Chương trình hành động của Chính phủ thực hiện Nghị quyết số 59-NQ/TW</w:t>
      </w:r>
      <w:r>
        <w:rPr>
          <w:rStyle w:val="FootnoteReference"/>
          <w:szCs w:val="28"/>
        </w:rPr>
        <w:footnoteReference w:id="13"/>
      </w:r>
      <w:r>
        <w:rPr>
          <w:szCs w:val="28"/>
          <w:lang w:val="af-ZA"/>
        </w:rPr>
        <w:t>; Chỉ thị số 32-CT/TW, ngày 18/2/2019 của Bộ Chính trị về tăng cường và nâng cao hiệu quả quan hệ đối ngoại Đảng trong tình hình mới</w:t>
      </w:r>
      <w:r>
        <w:rPr>
          <w:spacing w:val="-2"/>
          <w:szCs w:val="28"/>
          <w:lang w:val="af-ZA"/>
        </w:rPr>
        <w:t xml:space="preserve">; Chỉ thị số 15-CT/TW, ngày 10/8/2022 của Ban Bí thư về công tác ngoại giao kinh tế phục vụ phát triển đất nước đến năm 2030. Đồng thời, triển khai hiệu quả Nghị quyết số 68-NQ/TW, ngày 23/9/2022 của Bộ Chính trị về phát triển kinh tế tư nhân, lồng ghép vào các hoạt động đối ngoại, xúc tiến đầu tư nhằm huy động nguồn lực quốc tế thúc đẩy khu vực kinh tế tư nhân phát triển nhanh và bền vững. </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pacing w:val="-2"/>
          <w:szCs w:val="28"/>
          <w:lang w:val="af-ZA"/>
        </w:rPr>
      </w:pPr>
      <w:r>
        <w:rPr>
          <w:spacing w:val="-2"/>
          <w:szCs w:val="28"/>
          <w:lang w:val="af-ZA"/>
        </w:rPr>
        <w:t>- Kịp thời hỗ trợ, hướng dẫn chuyên môn, nghiệp vụ đối ngoại, đào tạo ngoại ngữ cho đội ngũ cán bộ, công chức, viên chức của các đơn vị, địa phương làm công tác đối ngoại, hội nhập quốc tế; kịp thời hệ thống hóa các quy định, chính sách, văn bản của Trung ương và tỉnh về lĩnh vực đối ngoại cung cấp cho các đơn vị, địa phương trên địa bàn toàn tỉnh.</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i/>
          <w:szCs w:val="28"/>
          <w:lang w:val="af-ZA"/>
        </w:rPr>
      </w:pPr>
      <w:r>
        <w:rPr>
          <w:i/>
          <w:szCs w:val="28"/>
          <w:lang w:val="af-ZA"/>
        </w:rPr>
        <w:t xml:space="preserve">2. Đẩy mạnh công tác hội nhập, hợp tác quốc tế gắn với chuyển đổi số: </w:t>
      </w:r>
      <w:r>
        <w:rPr>
          <w:szCs w:val="28"/>
          <w:lang w:val="af-ZA"/>
        </w:rPr>
        <w:t xml:space="preserve">Chủ trì, phối hợp với các cơ quan, đơn vị liên quan xây dựng </w:t>
      </w:r>
      <w:r>
        <w:rPr>
          <w:szCs w:val="28"/>
        </w:rPr>
        <w:t>Kế hoạch hợp tác quốc tế về khoa học, công nghệ, đổi mới sáng tạo và chuyển đổi số năm 2026 và những năm tiếp theo;</w:t>
      </w:r>
      <w:r>
        <w:rPr>
          <w:szCs w:val="28"/>
          <w:lang w:val="af-ZA"/>
        </w:rPr>
        <w:t xml:space="preserve"> tận dụng các nền tảng mạng xã hội, báo điện tử, hệ thống dữ liệu dùng chung tăng cường thông tin, tuyên truyền quảng bá hình ảnh, đất nước con người và tiềm năng phát triển của Tỉnh đến các cơ quan đại diện ngoại giao nước ngoài, các nhà đầu tư trong và ngoài nước, bạn bè quốc tế nhằm thu hút sự quan tâm cũng như kêu gọi các nhà đầu tư vào tỉnh; tích cực tham gia các diễn đàn, hội nghị quốc tế để kêu gọi, thu hút các nhà đầu tư, đối tác nước ngoài; nguồn phi chính phủ nước ngoài vào tỉnh. </w:t>
      </w:r>
      <w:r>
        <w:rPr>
          <w:szCs w:val="28"/>
          <w:lang w:val="vi-VN"/>
        </w:rPr>
        <w:t>Mở rộng, tăng cường quan hệ đối tác</w:t>
      </w:r>
      <w:r>
        <w:rPr>
          <w:szCs w:val="28"/>
          <w:lang w:val="af-ZA"/>
        </w:rPr>
        <w:t xml:space="preserve"> truyền thống</w:t>
      </w:r>
      <w:r>
        <w:rPr>
          <w:szCs w:val="28"/>
          <w:lang w:val="vi-VN"/>
        </w:rPr>
        <w:t>.</w:t>
      </w:r>
      <w:r>
        <w:rPr>
          <w:szCs w:val="28"/>
          <w:lang w:val="af-ZA"/>
        </w:rPr>
        <w:t xml:space="preserve"> X</w:t>
      </w:r>
      <w:r>
        <w:rPr>
          <w:szCs w:val="28"/>
          <w:lang w:val="vi-VN"/>
        </w:rPr>
        <w:t xml:space="preserve">úc tiến thiết lập mối quan hệ hữu nghị, hợp tác mới với các tỉnh, thành phố của các nước có nhiều điểm tương đồng với </w:t>
      </w:r>
      <w:r>
        <w:rPr>
          <w:szCs w:val="28"/>
          <w:lang w:val="vi-VN"/>
        </w:rPr>
        <w:lastRenderedPageBreak/>
        <w:t xml:space="preserve">tỉnh Hà Tĩnh. </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zCs w:val="28"/>
          <w:lang w:val="af-ZA"/>
        </w:rPr>
      </w:pPr>
      <w:r>
        <w:rPr>
          <w:szCs w:val="28"/>
          <w:lang w:val="af-ZA"/>
        </w:rPr>
        <w:t>3.</w:t>
      </w:r>
      <w:r>
        <w:rPr>
          <w:rFonts w:eastAsia="Arial Unicode MS"/>
          <w:szCs w:val="28"/>
          <w:lang w:val="af-ZA"/>
        </w:rPr>
        <w:t xml:space="preserve"> </w:t>
      </w:r>
      <w:r>
        <w:rPr>
          <w:rFonts w:eastAsia="Arial Unicode MS"/>
          <w:i/>
          <w:szCs w:val="28"/>
          <w:lang w:val="af-ZA"/>
        </w:rPr>
        <w:t>Tăng cường và nâng cao hiệu quả công tác đối ngoại Nhân dân</w:t>
      </w:r>
      <w:r>
        <w:rPr>
          <w:rFonts w:eastAsia="Arial Unicode MS"/>
          <w:szCs w:val="28"/>
          <w:lang w:val="af-ZA"/>
        </w:rPr>
        <w:t xml:space="preserve">: </w:t>
      </w:r>
      <w:r>
        <w:rPr>
          <w:szCs w:val="28"/>
          <w:lang w:val="vi-VN"/>
        </w:rPr>
        <w:t xml:space="preserve">Tiếp tục triển khai thực hiện có hiệu quả Chỉ thị số </w:t>
      </w:r>
      <w:r>
        <w:rPr>
          <w:szCs w:val="28"/>
          <w:lang w:val="es-ES"/>
        </w:rPr>
        <w:t>12</w:t>
      </w:r>
      <w:r>
        <w:rPr>
          <w:szCs w:val="28"/>
          <w:lang w:val="vi-VN"/>
        </w:rPr>
        <w:t>-CT/TW</w:t>
      </w:r>
      <w:r>
        <w:rPr>
          <w:szCs w:val="28"/>
          <w:lang w:val="es-ES"/>
        </w:rPr>
        <w:t xml:space="preserve">, </w:t>
      </w:r>
      <w:r>
        <w:rPr>
          <w:szCs w:val="28"/>
          <w:lang w:val="pl-PL"/>
        </w:rPr>
        <w:t xml:space="preserve">ngày 05/01/2022 của Ban Bí thư “về tăng cường sự lãnh đạo của Đảng, nâng cao hiệu quả đối ngoại nhân dân trong tình hình mới”. </w:t>
      </w:r>
      <w:r>
        <w:rPr>
          <w:szCs w:val="28"/>
          <w:lang w:val="vi-VN"/>
        </w:rPr>
        <w:t>Tiếp tục củng cố, đẩy mạnh và phát triển sâu, rộng hơn nữa mối quan hệ hữu nghị, đoàn kết đặc biệt và hợp tác toàn diện với các tỉnh của Lào</w:t>
      </w:r>
      <w:r>
        <w:rPr>
          <w:szCs w:val="28"/>
          <w:lang w:val="pl-PL"/>
        </w:rPr>
        <w:t xml:space="preserve">, tập trung phối hợp tháo gỡ những khó khăn trong xây dựng hạ tầng khu vực cửa khẩu quốc tế Cầu Treo - Nậm Phao, tích cực hợp tác phát triển kinh tế, thương mại đầu tư. </w:t>
      </w:r>
      <w:r>
        <w:rPr>
          <w:szCs w:val="28"/>
          <w:lang w:val="af-ZA"/>
        </w:rPr>
        <w:t xml:space="preserve">Tổ chức Hội nghị cấp cao thường niên giữa tỉnh Hà Tĩnh với các tỉnh Bolikhămxay và Khăm Muồn tại tỉnh Hà Tĩnh. </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zCs w:val="28"/>
          <w:lang w:val="af-ZA"/>
        </w:rPr>
      </w:pPr>
      <w:r>
        <w:rPr>
          <w:i/>
          <w:szCs w:val="28"/>
          <w:lang w:val="af-ZA"/>
        </w:rPr>
        <w:t>4.</w:t>
      </w:r>
      <w:r>
        <w:rPr>
          <w:szCs w:val="28"/>
          <w:lang w:val="af-ZA"/>
        </w:rPr>
        <w:t xml:space="preserve"> </w:t>
      </w:r>
      <w:r>
        <w:rPr>
          <w:i/>
          <w:szCs w:val="28"/>
          <w:lang w:val="af-ZA"/>
        </w:rPr>
        <w:t>Nâng cao năng lực các doanh nghiệp trong tỉnh để tăng cường hợp tác với các doanh nghiệp nước ngoài</w:t>
      </w:r>
      <w:r>
        <w:rPr>
          <w:szCs w:val="28"/>
          <w:lang w:val="af-ZA"/>
        </w:rPr>
        <w:t>: Hỗ trợ kết nối các doanh nghiệp địa phương với các doanh nghiệp kiều bào Hà Tĩnh ở nước ngoài thông qua các chương trình giao lưu, chia sẻ kinh nghiệm; vận động, kêu gọi các doanh nghiệp trong tỉnh tham gia cùng Đoàn công tác của tỉnh đi xúc tiến thương mại, đầu tư ở các nước; mời làm việc với các chuyên gia nước ngoài, tổ chức quốc tế giúp các doanh nghiệp địa phương tìm kiếm cơ hội kinh doanh thông qua các cuộc làm việc với tỉnh...</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zCs w:val="28"/>
          <w:lang w:val="af-ZA"/>
        </w:rPr>
      </w:pPr>
      <w:r>
        <w:rPr>
          <w:i/>
          <w:szCs w:val="28"/>
          <w:lang w:val="af-ZA"/>
        </w:rPr>
        <w:t>5. Tăng cường hiệu quả phối hợp với các cơ quan, đơn vị từ Trung ương đến địa phương trong công tác xúc tiến đầu tư:</w:t>
      </w:r>
      <w:r>
        <w:rPr>
          <w:szCs w:val="28"/>
          <w:lang w:val="af-ZA"/>
        </w:rPr>
        <w:t xml:space="preserve"> Xây dựng và triển khai chương trình xúc tiến đầu tư nước ngoài có mục tiêu, trọng tâm, trọng điểm; ưu tiên tiếp cận các doanh nghiệp đầu tư nước ngoài đến từ các quốc gia có trình độ công nghệ tiên tiến, lĩnh vực đầu tư cần thu hút.</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zCs w:val="28"/>
          <w:lang w:val="af-ZA"/>
        </w:rPr>
      </w:pPr>
      <w:r>
        <w:rPr>
          <w:i/>
          <w:szCs w:val="28"/>
          <w:lang w:val="af-ZA"/>
        </w:rPr>
        <w:t xml:space="preserve">6. </w:t>
      </w:r>
      <w:r>
        <w:rPr>
          <w:rFonts w:eastAsia="Arial Unicode MS"/>
          <w:i/>
          <w:szCs w:val="28"/>
          <w:lang w:val="af-ZA"/>
        </w:rPr>
        <w:t>Đẩy mạnh việc triển khai Chiến lược Ngoại giao văn hóa:</w:t>
      </w:r>
      <w:r>
        <w:rPr>
          <w:rFonts w:eastAsia="Arial Unicode MS"/>
          <w:szCs w:val="28"/>
          <w:lang w:val="af-ZA"/>
        </w:rPr>
        <w:t xml:space="preserve"> </w:t>
      </w:r>
      <w:r>
        <w:rPr>
          <w:szCs w:val="28"/>
          <w:lang w:val="af-ZA"/>
        </w:rPr>
        <w:t xml:space="preserve">Đổi mới công tác thông tin, tuyên truyền đối ngoại, quảng bá tiềm năng, thế mạnh, chính sách thu hút đầu tư của tỉnh bằng nhiều hình thức, nội dung trên các phương tiện thông tin đại chúng của tỉnh và Trung ương, thông qua cơ quan đại diện ngoại giao, người Việt Nam ở nước ngoài để các đối tác nắm rõ và hiểu đầy đủ về tình hình, nhu cầu thu hút đầu tư của tỉnh. Triển khai hiệu quả công tác người Việt Nam ở nước ngoài, vận động cộng đồng người Hà Tĩnh ở nước ngoài hướng về quê hương, tham gia đóng góp vào sự nghiệp xây dựng và bảo vệ Tổ quốc. Tổ chức gặp mặt, kết nối kiều bào Hà Tĩnh với quê hương năm 2026. Xây dựng hệ thống cơ sở dữ liệu ngành ngoại vụ hướng tới tích hợp trên hệ thống cơ sở dữ liệu chuyên ngành của tỉnh. </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szCs w:val="28"/>
          <w:lang w:val="af-ZA"/>
        </w:rPr>
      </w:pPr>
      <w:r>
        <w:rPr>
          <w:i/>
          <w:szCs w:val="28"/>
          <w:lang w:val="af-ZA"/>
        </w:rPr>
        <w:t>7. Tiếp tục tăng cường công tác phối hợp, quản lý, kiểm tra, kiểm soát và trao đổi thông tin để ngăn chặn, xử lý các hành vi vi phạm pháp luật hai nước và vi phạm Quy chế biên giới.</w:t>
      </w:r>
      <w:r>
        <w:rPr>
          <w:szCs w:val="28"/>
          <w:lang w:val="af-ZA"/>
        </w:rPr>
        <w:t xml:space="preserve"> Tiếp tục phối hợp thực hiện tốt công tác quản lý, bảo vệ đường biên giới, hệ thống mốc quốc giới; phát hiện và xử lý kịp thời các vấn đề xảy ra trên tuyến biên giới, đặc biệt là tội phạm buôn bán, vận chuyển ma túy, vũ khí, vật liệu nổ qua biên giới, buôn lậu gian lận thương mại. Phối hợp với các sở, ngành, địa phương triển khai thực hiện Quy hoạch cửa khẩu các tuyến biên giới đất liền thời kỳ 2021-2030, tầm nhìn đến năm 2050 theo Quyết định số 1201/QĐ-TTg, ngày 14/10/2023 </w:t>
      </w:r>
      <w:r>
        <w:rPr>
          <w:szCs w:val="28"/>
          <w:lang w:val="af-ZA"/>
        </w:rPr>
        <w:lastRenderedPageBreak/>
        <w:t>của Thủ tướng Chính phủ.</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bCs/>
          <w:szCs w:val="28"/>
          <w:lang w:val="af-ZA"/>
        </w:rPr>
      </w:pPr>
      <w:r>
        <w:rPr>
          <w:i/>
          <w:szCs w:val="28"/>
          <w:lang w:val="af-ZA"/>
        </w:rPr>
        <w:t>8.</w:t>
      </w:r>
      <w:r>
        <w:rPr>
          <w:szCs w:val="28"/>
          <w:lang w:val="af-ZA"/>
        </w:rPr>
        <w:t xml:space="preserve"> </w:t>
      </w:r>
      <w:r>
        <w:rPr>
          <w:i/>
          <w:szCs w:val="28"/>
          <w:lang w:val="af-ZA"/>
        </w:rPr>
        <w:t xml:space="preserve">Tiếp tục </w:t>
      </w:r>
      <w:r>
        <w:rPr>
          <w:bCs/>
          <w:i/>
          <w:szCs w:val="28"/>
          <w:lang w:val="af-ZA"/>
        </w:rPr>
        <w:t xml:space="preserve">xây dựng đội ngũ cán bộ đối ngoại đáp ứng yêu cầu trong giai đoạn mới: </w:t>
      </w:r>
      <w:r>
        <w:rPr>
          <w:bCs/>
          <w:szCs w:val="28"/>
          <w:lang w:val="af-ZA"/>
        </w:rPr>
        <w:t>Tổ chức đào tạo ngoại ngữ, kỹ năng giao tiếp, xử lý tình huống; đẩy mạnh bồi dưỡng kiến thức hội nhập, kỹ năng đối ngoại nhân dân, ngoại giao kinh tế và đối ngoại phục vụ phát triển cho cán bộ làm công tác đối ngoại trong địa bàn tỉnh.</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bCs/>
          <w:szCs w:val="28"/>
          <w:lang w:val="af-ZA"/>
        </w:rPr>
      </w:pPr>
      <w:r>
        <w:rPr>
          <w:bCs/>
          <w:i/>
          <w:szCs w:val="28"/>
          <w:lang w:val="af-ZA"/>
        </w:rPr>
        <w:t>9.</w:t>
      </w:r>
      <w:r>
        <w:rPr>
          <w:i/>
          <w:lang w:eastAsia="en-US"/>
        </w:rPr>
        <w:t xml:space="preserve"> Thực hiện hoàn thành 100% nhiệm vụ chính trị được cấp trên giao đảm bảo chất lượng, tiến độ; 100% chương trình khung tại các phòng, đơn vị hoàn thành. </w:t>
      </w:r>
      <w:r>
        <w:rPr>
          <w:lang w:eastAsia="en-US"/>
        </w:rPr>
        <w:t>Phấn đấu Chi bộ, cơ quan, Đoàn Thanh niên Sở được xếp loại hoàn thành xuất sắc nhiệm vụ; 100% đảng viên hoàn thành tốt nhiệm vụ, trong đó có 20% đảng viên hoàn thành xuất sắc nhiệm vụ; 100% tổ đảng hoàn thành tốt nhiệm vụ, trong đó 01 tổ đảng hoàn thành xuất sắc nhiệm vụ.</w:t>
      </w:r>
      <w:r>
        <w:rPr>
          <w:bCs/>
          <w:szCs w:val="28"/>
          <w:lang w:val="af-ZA"/>
        </w:rPr>
        <w:t xml:space="preserve"> </w:t>
      </w:r>
      <w:r>
        <w:rPr>
          <w:lang w:eastAsia="en-US"/>
        </w:rPr>
        <w:t>Phấn đấu kết nạp 01-02 đảng viên.</w:t>
      </w:r>
      <w:r>
        <w:rPr>
          <w:bCs/>
          <w:szCs w:val="28"/>
          <w:lang w:val="af-ZA"/>
        </w:rPr>
        <w:t xml:space="preserve"> </w:t>
      </w:r>
      <w:r>
        <w:rPr>
          <w:lang w:eastAsia="en-US"/>
        </w:rPr>
        <w:t>100% đảng viên, quần chúng được học tập các nghị quyết, chương trình, quy định của Đảng.</w:t>
      </w:r>
      <w:r>
        <w:rPr>
          <w:szCs w:val="28"/>
          <w:lang w:val="de-AT"/>
        </w:rPr>
        <w:t xml:space="preserve"> </w:t>
      </w:r>
      <w:r>
        <w:rPr>
          <w:lang w:eastAsia="en-US"/>
        </w:rPr>
        <w:t>Cơ quan đạt chuẩn văn hóa; chuẩn an toàn về an ninh trật tự.</w:t>
      </w:r>
      <w:r>
        <w:rPr>
          <w:bCs/>
          <w:szCs w:val="28"/>
          <w:lang w:val="af-ZA"/>
        </w:rPr>
        <w:t xml:space="preserve"> </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rPr>
          <w:bCs/>
          <w:szCs w:val="28"/>
          <w:lang w:val="af-ZA"/>
        </w:rPr>
      </w:pPr>
      <w:r>
        <w:rPr>
          <w:bCs/>
          <w:szCs w:val="28"/>
          <w:lang w:val="af-ZA"/>
        </w:rPr>
        <w:t>10. Tiếp tục xiết chặt kỷ luật kỷ cương hành chính trong cơ quan. Xây dựng Tiêu chí xếp loại trong đội ngũ CCVC. Sắp xếp CBCCVC làm việc đúng vị trí việc làm, sở, trường, năng lực nhằm đáp ứng yêu cầu công việc trong tiến trình hội nhập quốc tế.</w:t>
      </w:r>
    </w:p>
    <w:p>
      <w:pPr>
        <w:widowControl w:val="0"/>
        <w:pBdr>
          <w:top w:val="dotted" w:sz="4" w:space="0" w:color="FFFFFF"/>
          <w:left w:val="dotted" w:sz="4" w:space="0" w:color="FFFFFF"/>
          <w:bottom w:val="dotted" w:sz="4" w:space="8" w:color="FFFFFF"/>
          <w:right w:val="dotted" w:sz="4" w:space="29" w:color="FFFFFF"/>
        </w:pBdr>
        <w:shd w:val="clear" w:color="auto" w:fill="FFFFFF"/>
        <w:spacing w:before="120" w:after="120" w:line="240" w:lineRule="auto"/>
        <w:ind w:firstLine="720"/>
        <w:jc w:val="both"/>
      </w:pPr>
      <w:r>
        <w:t>Trên đây là Báo cáo công tác xây dựng Đảng và thực hiện nhiệm vụ chính trị năm 2025, triển khai nhiệm vụ năm 2026 của Chi bộ Sở Ngoại vụ.</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0"/>
        <w:gridCol w:w="4811"/>
      </w:tblGrid>
      <w:tr>
        <w:trPr>
          <w:trHeight w:val="1949"/>
        </w:trPr>
        <w:tc>
          <w:tcPr>
            <w:tcW w:w="4810" w:type="dxa"/>
          </w:tcPr>
          <w:p>
            <w:pPr>
              <w:rPr>
                <w:rFonts w:eastAsia="Times New Roman"/>
                <w:sz w:val="24"/>
                <w:szCs w:val="24"/>
                <w:lang w:eastAsia="en-US"/>
              </w:rPr>
            </w:pPr>
          </w:p>
        </w:tc>
        <w:tc>
          <w:tcPr>
            <w:tcW w:w="4811" w:type="dxa"/>
          </w:tcPr>
          <w:p>
            <w:pPr>
              <w:jc w:val="center"/>
              <w:rPr>
                <w:rFonts w:eastAsia="Times New Roman"/>
                <w:b/>
                <w:szCs w:val="26"/>
                <w:lang w:val="fr-FR" w:eastAsia="en-US"/>
              </w:rPr>
            </w:pPr>
            <w:r>
              <w:rPr>
                <w:rFonts w:eastAsia="Times New Roman"/>
                <w:b/>
                <w:szCs w:val="26"/>
                <w:lang w:val="fr-FR" w:eastAsia="en-US"/>
              </w:rPr>
              <w:t>CHI BỘ SỞ NGOẠI VỤ</w:t>
            </w:r>
          </w:p>
          <w:p>
            <w:pPr>
              <w:jc w:val="both"/>
              <w:rPr>
                <w:szCs w:val="28"/>
                <w:lang w:val="de-AT"/>
              </w:rPr>
            </w:pPr>
          </w:p>
          <w:p>
            <w:pPr>
              <w:jc w:val="both"/>
              <w:rPr>
                <w:szCs w:val="28"/>
                <w:lang w:val="de-AT"/>
              </w:rPr>
            </w:pPr>
          </w:p>
          <w:p>
            <w:pPr>
              <w:jc w:val="both"/>
              <w:rPr>
                <w:szCs w:val="28"/>
                <w:lang w:val="de-AT"/>
              </w:rPr>
            </w:pPr>
          </w:p>
          <w:p>
            <w:pPr>
              <w:jc w:val="both"/>
              <w:rPr>
                <w:szCs w:val="28"/>
                <w:lang w:val="de-AT"/>
              </w:rPr>
            </w:pPr>
          </w:p>
          <w:p>
            <w:pPr>
              <w:jc w:val="both"/>
              <w:rPr>
                <w:szCs w:val="28"/>
                <w:lang w:val="de-AT"/>
              </w:rPr>
            </w:pPr>
          </w:p>
          <w:p>
            <w:pPr>
              <w:jc w:val="center"/>
              <w:rPr>
                <w:b/>
                <w:bCs/>
                <w:szCs w:val="28"/>
                <w:lang w:val="de-AT"/>
              </w:rPr>
            </w:pPr>
          </w:p>
        </w:tc>
      </w:tr>
      <w:tr>
        <w:trPr>
          <w:trHeight w:val="1949"/>
        </w:trPr>
        <w:tc>
          <w:tcPr>
            <w:tcW w:w="4810" w:type="dxa"/>
          </w:tcPr>
          <w:p>
            <w:pPr>
              <w:rPr>
                <w:rFonts w:eastAsia="Times New Roman"/>
                <w:bCs/>
                <w:iCs/>
                <w:sz w:val="24"/>
                <w:szCs w:val="24"/>
                <w:u w:val="single"/>
                <w:lang w:val="es-ES_tradnl" w:eastAsia="en-US"/>
              </w:rPr>
            </w:pPr>
          </w:p>
        </w:tc>
        <w:tc>
          <w:tcPr>
            <w:tcW w:w="4811" w:type="dxa"/>
          </w:tcPr>
          <w:p>
            <w:pPr>
              <w:jc w:val="center"/>
              <w:rPr>
                <w:rFonts w:eastAsia="Times New Roman"/>
                <w:b/>
                <w:szCs w:val="26"/>
                <w:lang w:val="fr-FR" w:eastAsia="en-US"/>
              </w:rPr>
            </w:pPr>
          </w:p>
        </w:tc>
      </w:tr>
    </w:tbl>
    <w:p>
      <w:pPr>
        <w:rPr>
          <w:lang w:val="nb-NO"/>
        </w:rPr>
      </w:pPr>
    </w:p>
    <w:sectPr>
      <w:headerReference w:type="default" r:id="rId9"/>
      <w:pgSz w:w="12240" w:h="15840"/>
      <w:pgMar w:top="1134" w:right="851" w:bottom="1134" w:left="1701" w:header="510" w:footer="34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MS Gothic"/>
    <w:panose1 w:val="00000000000000000000"/>
    <w:charset w:val="8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 New Roman Bold">
    <w:panose1 w:val="00000000000000000000"/>
    <w:charset w:val="00"/>
    <w:family w:val="roman"/>
    <w:notTrueType/>
    <w:pitch w:val="default"/>
  </w:font>
  <w:font w:name="Angsana New">
    <w:altName w:val="Arial Unicode MS"/>
    <w:panose1 w:val="02020603050405020304"/>
    <w:charset w:val="DE"/>
    <w:family w:val="roman"/>
    <w:notTrueType/>
    <w:pitch w:val="variable"/>
    <w:sig w:usb0="01000000"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等线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 w:id="1">
    <w:p>
      <w:pPr>
        <w:pStyle w:val="FootnoteText"/>
        <w:jc w:val="both"/>
      </w:pPr>
      <w:r>
        <w:rPr>
          <w:rStyle w:val="FootnoteReference"/>
        </w:rPr>
        <w:footnoteRef/>
      </w:r>
      <w:r>
        <w:t xml:space="preserve"> Chỉ thị số 15-CT/TW, ngày 10/8/2022 của Ban Bí thư về công tác ngoại giao kinh tế phục vụ phát triển đất nước đến năm 2030; Kế hoạch tăng cường HTQT để xây dựng và phát triển ngành Halal trên địa bàn tỉnh đến năm 2030; Chỉ thị số 12-CT/TW, ngày 05/01/2022 của Ban Bí thư về tăng cường sự lãnh đạo của Đảng, nâng cao hiệu quả đối ngoại Nhân dân trong tình hình mới; Kết luận số 57-KL/TW, ngày 15/6/2023 của Bộ Chính trị về tiếp tục nâng cao chất lượng, hiệu quả công tác thông tin đối ngoại trong tình hình mới; Nghị quyết số 34-NQ/TW, ngày 09/01/2023 của Bộ Chính trị về một số định hướng, chủ trương lớn triển khai đường lối đối ngoại Đại hội XIII của Đảng; Nghị quyết số 06-NQ/TW khóa XII về hội nhập kinh tế quốc tế trong bối cảnh các FTA thế hệ mới; Chỉ thị số 32-CT/TW của Ban Bí thư về tăng cường và nâng cao hiệu quả quan hệ đối ngoại Đảng.</w:t>
      </w:r>
    </w:p>
  </w:footnote>
  <w:footnote w:id="2">
    <w:p>
      <w:pPr>
        <w:pStyle w:val="FootnoteText"/>
        <w:jc w:val="both"/>
        <w:rPr>
          <w:lang w:val="en-SG"/>
        </w:rPr>
      </w:pPr>
      <w:r>
        <w:rPr>
          <w:rStyle w:val="FootnoteReference"/>
        </w:rPr>
        <w:footnoteRef/>
      </w:r>
      <w:r>
        <w:t xml:space="preserve"> </w:t>
      </w:r>
      <w:r>
        <w:rPr>
          <w:bCs/>
          <w:szCs w:val="26"/>
        </w:rPr>
        <w:t xml:space="preserve">Biên bản Hội nghị cấp cao </w:t>
      </w:r>
      <w:r>
        <w:t xml:space="preserve">giữa tỉnh Hà Tĩnh, nước Cộng hòa </w:t>
      </w:r>
      <w:r>
        <w:rPr>
          <w:lang w:val="vi-VN"/>
        </w:rPr>
        <w:t>x</w:t>
      </w:r>
      <w:r>
        <w:t xml:space="preserve">ã hội </w:t>
      </w:r>
      <w:r>
        <w:rPr>
          <w:lang w:val="vi-VN"/>
        </w:rPr>
        <w:t>c</w:t>
      </w:r>
      <w:r>
        <w:t xml:space="preserve">hủ nghĩa Việt Nam và tỉnh Bolikhămxay, nước Cộng hòa </w:t>
      </w:r>
      <w:r>
        <w:rPr>
          <w:lang w:val="vi-VN"/>
        </w:rPr>
        <w:t>d</w:t>
      </w:r>
      <w:r>
        <w:t>ân chủ</w:t>
      </w:r>
      <w:r>
        <w:rPr>
          <w:rFonts w:cs="Angsana New"/>
          <w:bCs/>
          <w:szCs w:val="28"/>
          <w:cs/>
          <w:lang w:bidi="th-TH"/>
        </w:rPr>
        <w:t xml:space="preserve"> </w:t>
      </w:r>
      <w:r>
        <w:rPr>
          <w:lang w:val="vi-VN"/>
        </w:rPr>
        <w:t>n</w:t>
      </w:r>
      <w:r>
        <w:t>hân dân Lào; Biên bản Hội nghị cấp cao giữa tỉnh Hà Tĩnh, nước Cộng hòa xã hội chủ nghĩa Việt Nam và tỉnh Khăm Muồn, nước Cộng hòa dân chủ nhân dân Lào.</w:t>
      </w:r>
    </w:p>
  </w:footnote>
  <w:footnote w:id="3">
    <w:p>
      <w:pPr>
        <w:jc w:val="both"/>
        <w:rPr>
          <w:rStyle w:val="text"/>
          <w:rFonts w:eastAsia="Calibri"/>
          <w:sz w:val="20"/>
          <w:szCs w:val="20"/>
        </w:rPr>
      </w:pPr>
      <w:r>
        <w:rPr>
          <w:rStyle w:val="FootnoteReference"/>
          <w:sz w:val="20"/>
          <w:szCs w:val="20"/>
        </w:rPr>
        <w:footnoteRef/>
      </w:r>
      <w:r>
        <w:rPr>
          <w:rStyle w:val="text"/>
          <w:rFonts w:eastAsia="Calibri"/>
          <w:sz w:val="20"/>
          <w:szCs w:val="20"/>
        </w:rPr>
        <w:t xml:space="preserve"> </w:t>
      </w:r>
      <w:r>
        <w:rPr>
          <w:rStyle w:val="text"/>
          <w:rFonts w:eastAsia="Calibri"/>
          <w:color w:val="000000" w:themeColor="text1"/>
          <w:sz w:val="20"/>
          <w:szCs w:val="20"/>
        </w:rPr>
        <w:t xml:space="preserve">- </w:t>
      </w:r>
      <w:r>
        <w:rPr>
          <w:rStyle w:val="text"/>
          <w:rFonts w:eastAsia="Calibri"/>
          <w:sz w:val="20"/>
          <w:szCs w:val="20"/>
        </w:rPr>
        <w:t xml:space="preserve">Đoàn công tác các địa phương: Bolikhămxay, Khăm Muồn và Savannakhet nước CHDCND Lào sang thăm, chúc mừng Tết cổ truyền Việt Nam tỉnh Hà Tĩnh; Bộ Giáo dục và Thể thao, nước CHDCND Lào; Đoàn Hội đồng nhân dân Thủ đô Viêng Chăn, CHDCND Lào; Đoàn Hội đồng nhân dân tỉnh Khăm Muồn, CHDCND Lào; Đoàn công tác Sở Ngoại giao 04 địa phương: Bolikhămxay, Khăm Muồn, Savannakhet và Thủ đô Viêng Chăn nước CHDCND Lào sang làm việc và học tập kinh nghiệm; Đoàn công tác của Ủy ban Du lịch Cộng hòa Tatarstan, Liên bang Nga; </w:t>
      </w:r>
    </w:p>
    <w:p>
      <w:pPr>
        <w:jc w:val="both"/>
        <w:rPr>
          <w:rStyle w:val="text"/>
          <w:rFonts w:eastAsia="Calibri"/>
          <w:sz w:val="20"/>
          <w:szCs w:val="20"/>
        </w:rPr>
      </w:pPr>
      <w:r>
        <w:rPr>
          <w:rStyle w:val="text"/>
          <w:rFonts w:eastAsia="Calibri"/>
          <w:sz w:val="20"/>
          <w:szCs w:val="20"/>
        </w:rPr>
        <w:t xml:space="preserve">- Đoàn công tác các Đại sứ quán: Hoa Kỳ, Nhật Bản, Tổng Lãnh sự quán Việt Nam tại Savannakhet, Tổng Lãnh sự quán nước CHDCND Lào tại Đà Nẵng, </w:t>
      </w:r>
    </w:p>
    <w:p>
      <w:pPr>
        <w:jc w:val="both"/>
        <w:rPr>
          <w:sz w:val="20"/>
          <w:szCs w:val="20"/>
        </w:rPr>
      </w:pPr>
      <w:r>
        <w:rPr>
          <w:rStyle w:val="text"/>
          <w:rFonts w:eastAsia="Calibri"/>
          <w:sz w:val="20"/>
          <w:szCs w:val="20"/>
        </w:rPr>
        <w:t>- Các tổ chức quốc tế: Văn phòng Kinh tế Văn hóa Đài Bắc tại Việt Nam, Tổ chức IPM Nhật Bản, Văn phòng Đại diện tổ chức Tzu Chi tại Việt Nam</w:t>
      </w:r>
    </w:p>
  </w:footnote>
  <w:footnote w:id="4">
    <w:p>
      <w:pPr>
        <w:pStyle w:val="FootnoteText"/>
        <w:jc w:val="both"/>
        <w:rPr>
          <w:lang w:val="en-SG"/>
        </w:rPr>
      </w:pPr>
      <w:r>
        <w:rPr>
          <w:rStyle w:val="FootnoteReference"/>
        </w:rPr>
        <w:footnoteRef/>
      </w:r>
      <w:r>
        <w:t xml:space="preserve"> Diễn đàn địa phương Việt - Nhật 2025; Liên hoan Văn hóa ẩm thực Quốc tế năm 2025; Diễn đàn Mê Công – Hàn Quốc năm 2025…</w:t>
      </w:r>
    </w:p>
  </w:footnote>
  <w:footnote w:id="5">
    <w:p>
      <w:pPr>
        <w:pStyle w:val="FootnoteText"/>
        <w:jc w:val="both"/>
        <w:rPr>
          <w:lang w:val="af-ZA"/>
        </w:rPr>
      </w:pPr>
      <w:r>
        <w:rPr>
          <w:rStyle w:val="FootnoteReference"/>
        </w:rPr>
        <w:footnoteRef/>
      </w:r>
      <w:r>
        <w:t xml:space="preserve"> </w:t>
      </w:r>
      <w:r>
        <w:rPr>
          <w:lang w:val="af-ZA"/>
        </w:rPr>
        <w:t>Như: Tập đoàn WPD - Cộng hòa Liên bang Đức hợp tác trong lĩnh vực điện gió, điện mặt trời; Công ty Kensys Thái Lan - Công ty Phát triển các công nghệ y tế tiên tiến, tập trung vào việc ứng dụng trí tuệ nhân tạo (AI) nhằm nâng cao sức khỏe cộng đồng; đoàn doanh nghiệp Việt Nam tại Hungary. Đồng thời, tỉnh đón và làm việc với Tập đoàn Thái Bình Dương (Pacific Construction Group, Trung Quốc) và Đoàn Tập đoàn YTL (Malaysia) đến tìm hiểu cơ hội hợp tác, đầu tư tại Hà Tĩnh, khảo sát sơ bộ một số dự án lớn thuộc các lĩnh vực hạ tầng, năng lượng, vật liệu xây dựng và phát triển khu đô thị - công nghiệp; thể hiện sự quan tâm đến các tiềm năng, lợi thế của tỉnh trong thu hút đầu tư quốc tế.</w:t>
      </w:r>
    </w:p>
  </w:footnote>
  <w:footnote w:id="6">
    <w:p>
      <w:pPr>
        <w:pStyle w:val="FootnoteText"/>
        <w:jc w:val="both"/>
        <w:rPr>
          <w:lang w:val="af-ZA"/>
        </w:rPr>
      </w:pPr>
      <w:r>
        <w:rPr>
          <w:rStyle w:val="FootnoteReference"/>
        </w:rPr>
        <w:footnoteRef/>
      </w:r>
      <w:r>
        <w:rPr>
          <w:lang w:val="af-ZA"/>
        </w:rPr>
        <w:t xml:space="preserve"> Tổ chức: Tzu Chi/Trung Quốc (Đài Loan); SVCC/Xlô-va-kia; Brittany’s Hope/Hoa Kỳ; BftW/Đức; WWF/Thụy Sĩ; MSI/Anh; Oxfam Novib/Hà Lan; DID/Canada; PALS/Hoa Kỳ, ADM/Pháp.</w:t>
      </w:r>
    </w:p>
  </w:footnote>
  <w:footnote w:id="7">
    <w:p>
      <w:pPr>
        <w:pStyle w:val="FootnoteText"/>
        <w:jc w:val="both"/>
        <w:rPr>
          <w:lang w:val="af-ZA"/>
        </w:rPr>
      </w:pPr>
      <w:r>
        <w:rPr>
          <w:rStyle w:val="FootnoteReference"/>
        </w:rPr>
        <w:footnoteRef/>
      </w:r>
      <w:r>
        <w:rPr>
          <w:lang w:val="af-ZA"/>
        </w:rPr>
        <w:t xml:space="preserve"> Tổ chức Samaritan’s Purse (1,020 tỷ đồng); Tổ chức GNI/Hàn Quốc (30.000 USD), Tổ chức IOM (540 triệu đồng), HAI/Anh (400 triệu đồng), tổ chức Quốc tế về Bảo tồn Thiên nhiên (WWF-Việt Nam) (20.000 USD), Tổ chức Save Children (500 triệu đồng).</w:t>
      </w:r>
    </w:p>
  </w:footnote>
  <w:footnote w:id="8">
    <w:p>
      <w:pPr>
        <w:pStyle w:val="FootnoteText"/>
        <w:jc w:val="both"/>
        <w:rPr>
          <w:lang w:val="af-ZA"/>
        </w:rPr>
      </w:pPr>
      <w:r>
        <w:rPr>
          <w:rStyle w:val="FootnoteReference"/>
        </w:rPr>
        <w:footnoteRef/>
      </w:r>
      <w:r>
        <w:rPr>
          <w:lang w:val="af-ZA"/>
        </w:rPr>
        <w:t xml:space="preserve"> </w:t>
      </w:r>
      <w:r>
        <w:rPr>
          <w:spacing w:val="-2"/>
          <w:lang w:val="af-ZA"/>
        </w:rPr>
        <w:t>Tang vật thu giữ 821 kg ma tuý đá; 5,1 kg Ketamin; 01 bánh Heroin; 21.540 viên ma túy tổng hợp; 9.000 viên thuốc lắc; 776 gói nước vui; 240 kg cần sa; 1,23 kg vàng; 97 kg pháo; 02 khẩu súng và 19 viên đạn quân dụng; xử phạt vi phạm hành chính 233 vụ/240 đối tượng, phạt tiền 571.500.000 đồng về các hành vi vi phạm quy định xuất nhập cảnh, khai thác thủy sản trái phép.</w:t>
      </w:r>
    </w:p>
  </w:footnote>
  <w:footnote w:id="9">
    <w:p>
      <w:pPr>
        <w:widowControl w:val="0"/>
        <w:pBdr>
          <w:top w:val="dotted" w:sz="4" w:space="0" w:color="FFFFFF"/>
          <w:left w:val="dotted" w:sz="4" w:space="0" w:color="FFFFFF"/>
          <w:bottom w:val="dotted" w:sz="4" w:space="8" w:color="FFFFFF"/>
          <w:right w:val="dotted" w:sz="4" w:space="29" w:color="FFFFFF"/>
        </w:pBdr>
        <w:shd w:val="clear" w:color="auto" w:fill="FFFFFF"/>
        <w:spacing w:after="0" w:line="240" w:lineRule="auto"/>
        <w:jc w:val="both"/>
        <w:rPr>
          <w:sz w:val="20"/>
          <w:szCs w:val="20"/>
          <w:shd w:val="clear" w:color="auto" w:fill="FFFFFF"/>
          <w:lang w:val="af-ZA"/>
        </w:rPr>
      </w:pPr>
      <w:r>
        <w:rPr>
          <w:rStyle w:val="FootnoteReference"/>
          <w:sz w:val="20"/>
          <w:szCs w:val="20"/>
        </w:rPr>
        <w:footnoteRef/>
      </w:r>
      <w:r>
        <w:rPr>
          <w:sz w:val="20"/>
          <w:szCs w:val="20"/>
          <w:lang w:val="af-ZA"/>
        </w:rPr>
        <w:t xml:space="preserve"> </w:t>
      </w:r>
      <w:r>
        <w:rPr>
          <w:spacing w:val="-2"/>
          <w:sz w:val="20"/>
          <w:szCs w:val="20"/>
          <w:lang w:val="af-ZA"/>
        </w:rPr>
        <w:t xml:space="preserve">Lưu lượng người, phương tiện, hàng hóa xuất nhập cảnh, xuất nhập khẩu qua Cửa khẩu Cầu Treo trong năm là: 535.609 lượt người/170.784 phương tiện/919.103 tấn hàng hóa các loại. </w:t>
      </w:r>
    </w:p>
  </w:footnote>
  <w:footnote w:id="10">
    <w:p>
      <w:pPr>
        <w:pStyle w:val="FootnoteText"/>
        <w:jc w:val="both"/>
        <w:rPr>
          <w:sz w:val="18"/>
          <w:szCs w:val="18"/>
          <w:lang w:val="af-ZA"/>
        </w:rPr>
      </w:pPr>
      <w:r>
        <w:rPr>
          <w:rStyle w:val="FootnoteReference"/>
          <w:sz w:val="18"/>
          <w:szCs w:val="18"/>
        </w:rPr>
        <w:footnoteRef/>
      </w:r>
      <w:r>
        <w:rPr>
          <w:sz w:val="18"/>
          <w:szCs w:val="18"/>
          <w:lang w:val="af-ZA"/>
        </w:rPr>
        <w:t xml:space="preserve"> Giải quyết, xử lý </w:t>
      </w:r>
      <w:r>
        <w:rPr>
          <w:bCs/>
          <w:sz w:val="18"/>
          <w:szCs w:val="18"/>
          <w:lang w:val="vi-VN"/>
        </w:rPr>
        <w:t>0</w:t>
      </w:r>
      <w:r>
        <w:rPr>
          <w:bCs/>
          <w:sz w:val="18"/>
          <w:szCs w:val="18"/>
          <w:lang w:val="af-ZA"/>
        </w:rPr>
        <w:t xml:space="preserve">2 vụ/06 trường hợp người Đài Loan về hành vi: người nước ngoài nhập cảnh, hành nghề hoặc có hoạt động khác tại Việt Nam mà không được phép của cơ quan có thẩm quyền; 01 vụ/01 trường hợp người Đài Loan, 01 vụ/01 trường hợp công dân Lào về hành vi: người nước ngoài sử dụng chứng nhận tạm trú quá thời hạn từ 90 ngày trở lên mà không được cơ quan có thẩm quyền cho phép; 05 vụ/14 công dân Trung Quốc nhập cảnh trái phép; 01 vụ công dân Trung Quốc phạm tội </w:t>
      </w:r>
      <w:r>
        <w:rPr>
          <w:sz w:val="18"/>
          <w:szCs w:val="18"/>
          <w:lang w:val="af-ZA"/>
        </w:rPr>
        <w:t>“Cưỡng đoạt tài sản” và “Bắt giữ người trái pháp luật”; 01 vụ TNGT liên quan công dân Trung Quốc; 01 vụ TNGT liên quan công dân Lào.</w:t>
      </w:r>
    </w:p>
  </w:footnote>
  <w:footnote w:id="11">
    <w:p>
      <w:pPr>
        <w:pStyle w:val="FootnoteText"/>
        <w:jc w:val="both"/>
        <w:rPr>
          <w:sz w:val="18"/>
          <w:szCs w:val="18"/>
          <w:lang w:val="af-ZA"/>
        </w:rPr>
      </w:pPr>
      <w:r>
        <w:rPr>
          <w:rStyle w:val="FootnoteReference"/>
          <w:sz w:val="18"/>
          <w:szCs w:val="18"/>
        </w:rPr>
        <w:footnoteRef/>
      </w:r>
      <w:r>
        <w:rPr>
          <w:sz w:val="18"/>
          <w:szCs w:val="18"/>
          <w:lang w:val="af-ZA"/>
        </w:rPr>
        <w:t xml:space="preserve"> 01 trường hợp công dân huyện Thạch Hà bị bắt ở Đài Loan; 01 trường hợp công dân huyện Thạch Hà tử vong ở Đài Loan; 01 trường hợp công dân thành phố Hà Tĩnh tử vong ở Malaysia; 13 trường hợp công dân Hà Tĩnh bị trục xuất từ Myanmar về nước; 13 trường hợp công dân Hà Tĩnh bị trục xuất từ Campuchia về nước.</w:t>
      </w:r>
    </w:p>
  </w:footnote>
  <w:footnote w:id="12">
    <w:p>
      <w:pPr>
        <w:widowControl w:val="0"/>
        <w:jc w:val="both"/>
        <w:rPr>
          <w:sz w:val="18"/>
          <w:szCs w:val="18"/>
          <w:lang w:val="af-ZA"/>
        </w:rPr>
      </w:pPr>
      <w:r>
        <w:rPr>
          <w:rStyle w:val="FootnoteReference"/>
          <w:sz w:val="18"/>
          <w:szCs w:val="18"/>
        </w:rPr>
        <w:footnoteRef/>
      </w:r>
      <w:r>
        <w:rPr>
          <w:sz w:val="18"/>
          <w:szCs w:val="18"/>
          <w:lang w:val="af-ZA"/>
        </w:rPr>
        <w:t xml:space="preserve"> Đợt 159 và 160.</w:t>
      </w:r>
    </w:p>
  </w:footnote>
  <w:footnote w:id="13">
    <w:p>
      <w:pPr>
        <w:pStyle w:val="FootnoteText"/>
        <w:rPr>
          <w:lang w:val="af-ZA"/>
        </w:rPr>
      </w:pPr>
      <w:r>
        <w:rPr>
          <w:rStyle w:val="FootnoteReference"/>
        </w:rPr>
        <w:footnoteRef/>
      </w:r>
      <w:r>
        <w:rPr>
          <w:lang w:val="af-ZA"/>
        </w:rPr>
        <w:t xml:space="preserve"> Chương trình hành động số 44-CTr/TU ngày 21/5/2025 của BTV Tỉnh ủy và Kế hoạch số 352/KH-UBND ngày 27/6/2025 của Uỷ ban nhân dân tỉnh.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3474746"/>
      <w:docPartObj>
        <w:docPartGallery w:val="Page Numbers (Top of Page)"/>
        <w:docPartUnique/>
      </w:docPartObj>
    </w:sdtPr>
    <w:sdtEndPr>
      <w:rPr>
        <w:noProof/>
      </w:rPr>
    </w:sdtEndPr>
    <w:sdtContent>
      <w:p>
        <w:pPr>
          <w:pStyle w:val="Header"/>
          <w:jc w:val="center"/>
        </w:pPr>
        <w:r>
          <w:fldChar w:fldCharType="begin"/>
        </w:r>
        <w:r>
          <w:instrText xml:space="preserve"> PAGE   \* MERGEFORMAT </w:instrText>
        </w:r>
        <w:r>
          <w:fldChar w:fldCharType="separate"/>
        </w:r>
        <w:r>
          <w:rPr>
            <w:noProof/>
          </w:rPr>
          <w:t>18</w:t>
        </w:r>
        <w:r>
          <w:rPr>
            <w:noProof/>
          </w:rPr>
          <w:fldChar w:fldCharType="end"/>
        </w:r>
      </w:p>
    </w:sdtContent>
  </w:sdt>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6D17A5"/>
    <w:multiLevelType w:val="hybridMultilevel"/>
    <w:tmpl w:val="E654D4D6"/>
    <w:lvl w:ilvl="0" w:tplc="D1F2B212">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EF1E93"/>
    <w:multiLevelType w:val="multilevel"/>
    <w:tmpl w:val="39783D4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revisionView w:inkAnnotations="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cs="Times New Roman"/>
      <w:sz w:val="28"/>
    </w:rPr>
  </w:style>
  <w:style w:type="paragraph" w:styleId="Heading1">
    <w:name w:val="heading 1"/>
    <w:basedOn w:val="Normal"/>
    <w:next w:val="Normal"/>
    <w:link w:val="Heading1Char"/>
    <w:uiPriority w:val="9"/>
    <w:qFormat/>
    <w:pPr>
      <w:spacing w:before="40" w:after="40" w:line="264" w:lineRule="auto"/>
      <w:ind w:firstLine="720"/>
      <w:jc w:val="both"/>
      <w:outlineLvl w:val="0"/>
    </w:pPr>
    <w:rPr>
      <w:rFonts w:eastAsia="Calibri"/>
      <w:b/>
      <w:szCs w:val="28"/>
      <w:lang w:eastAsia="en-US"/>
    </w:rPr>
  </w:style>
  <w:style w:type="paragraph" w:styleId="Heading2">
    <w:name w:val="heading 2"/>
    <w:basedOn w:val="Heading1"/>
    <w:next w:val="Normal"/>
    <w:link w:val="Heading2Char"/>
    <w:uiPriority w:val="9"/>
    <w:unhideWhenUsed/>
    <w:qFormat/>
    <w:pPr>
      <w:outlineLvl w:val="1"/>
    </w:pPr>
  </w:style>
  <w:style w:type="paragraph" w:styleId="Heading3">
    <w:name w:val="heading 3"/>
    <w:basedOn w:val="Heading2"/>
    <w:next w:val="Normal"/>
    <w:link w:val="Heading3Char"/>
    <w:uiPriority w:val="9"/>
    <w:unhideWhenUsed/>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Calibri" w:hAnsi="Times New Roman" w:cs="Times New Roman"/>
      <w:b/>
      <w:sz w:val="28"/>
      <w:szCs w:val="28"/>
      <w:lang w:eastAsia="en-US"/>
    </w:rPr>
  </w:style>
  <w:style w:type="character" w:customStyle="1" w:styleId="Heading2Char">
    <w:name w:val="Heading 2 Char"/>
    <w:basedOn w:val="DefaultParagraphFont"/>
    <w:link w:val="Heading2"/>
    <w:uiPriority w:val="9"/>
    <w:rPr>
      <w:rFonts w:ascii="Times New Roman" w:eastAsia="Calibri" w:hAnsi="Times New Roman" w:cs="Times New Roman"/>
      <w:b/>
      <w:sz w:val="28"/>
      <w:szCs w:val="28"/>
      <w:lang w:eastAsia="en-US"/>
    </w:rPr>
  </w:style>
  <w:style w:type="character" w:customStyle="1" w:styleId="Heading3Char">
    <w:name w:val="Heading 3 Char"/>
    <w:basedOn w:val="DefaultParagraphFont"/>
    <w:link w:val="Heading3"/>
    <w:uiPriority w:val="9"/>
    <w:rPr>
      <w:rFonts w:ascii="Times New Roman" w:eastAsia="Calibri" w:hAnsi="Times New Roman" w:cs="Times New Roman"/>
      <w:b/>
      <w:sz w:val="28"/>
      <w:szCs w:val="28"/>
      <w:lang w:eastAsia="en-US"/>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Times New Roman" w:hAnsi="Times New Roman" w:cs="Times New Roman"/>
      <w:sz w:val="28"/>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Times New Roman" w:hAnsi="Times New Roman" w:cs="Times New Roman"/>
      <w:sz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Char Char,ft,C"/>
    <w:basedOn w:val="Normal"/>
    <w:link w:val="FootnoteTextChar"/>
    <w:uiPriority w:val="99"/>
    <w:unhideWhenUsed/>
    <w:qFormat/>
    <w:pPr>
      <w:spacing w:after="0" w:line="240" w:lineRule="auto"/>
    </w:pPr>
    <w:rPr>
      <w:rFonts w:eastAsia="Times New Roman"/>
      <w:sz w:val="20"/>
      <w:szCs w:val="20"/>
      <w:lang w:eastAsia="en-U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qFormat/>
    <w:rPr>
      <w:rFonts w:ascii="Times New Roman" w:eastAsia="Times New Roman" w:hAnsi="Times New Roman" w:cs="Times New Roman"/>
      <w:sz w:val="20"/>
      <w:szCs w:val="20"/>
      <w:lang w:eastAsia="en-US"/>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SUPERS,R,10 p,f1,Re,1"/>
    <w:basedOn w:val="DefaultParagraphFont"/>
    <w:link w:val="CharChar1CharCharCharChar1CharCharCharCharCharCharCharChar"/>
    <w:uiPriority w:val="99"/>
    <w:unhideWhenUsed/>
    <w:qFormat/>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keepNext/>
      <w:spacing w:line="240" w:lineRule="exact"/>
    </w:pPr>
    <w:rPr>
      <w:rFonts w:asciiTheme="minorHAnsi" w:hAnsiTheme="minorHAnsi" w:cstheme="minorBidi"/>
      <w:sz w:val="22"/>
      <w:vertAlign w:val="superscript"/>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Revision">
    <w:name w:val="Revision"/>
    <w:hidden/>
    <w:uiPriority w:val="99"/>
    <w:semiHidden/>
    <w:pPr>
      <w:spacing w:after="0" w:line="240" w:lineRule="auto"/>
    </w:pPr>
    <w:rPr>
      <w:rFonts w:ascii="Times New Roman" w:hAnsi="Times New Roman" w:cs="Times New Roman"/>
      <w:sz w:val="28"/>
    </w:rPr>
  </w:style>
  <w:style w:type="paragraph" w:customStyle="1" w:styleId="content">
    <w:name w:val="content"/>
    <w:basedOn w:val="Normal"/>
    <w:pPr>
      <w:spacing w:before="100" w:after="100" w:line="240" w:lineRule="auto"/>
      <w:ind w:left="100" w:right="100"/>
    </w:pPr>
    <w:rPr>
      <w:rFonts w:ascii="Arial" w:eastAsia="Times New Roman" w:hAnsi="Arial" w:cs="Arial"/>
      <w:sz w:val="18"/>
      <w:szCs w:val="18"/>
      <w:lang w:val="vi-VN" w:eastAsia="vi-VN"/>
    </w:rPr>
  </w:style>
  <w:style w:type="character" w:customStyle="1" w:styleId="fontstyle01">
    <w:name w:val="fontstyle01"/>
    <w:rPr>
      <w:rFonts w:ascii="TimesNewRomanPSMT" w:hAnsi="TimesNewRomanPSMT" w:hint="default"/>
      <w:b w:val="0"/>
      <w:bCs w:val="0"/>
      <w:i w:val="0"/>
      <w:iCs w:val="0"/>
      <w:color w:val="000000"/>
      <w:sz w:val="24"/>
      <w:szCs w:val="24"/>
    </w:rPr>
  </w:style>
  <w:style w:type="paragraph" w:customStyle="1" w:styleId="Footnotetext13pt">
    <w:name w:val="Footnote text + 13 pt"/>
    <w:basedOn w:val="Normal"/>
    <w:next w:val="Normal"/>
    <w:qFormat/>
    <w:pPr>
      <w:spacing w:line="240" w:lineRule="exact"/>
    </w:pPr>
    <w:rPr>
      <w:rFonts w:eastAsia="Times New Roman"/>
      <w:sz w:val="20"/>
      <w:szCs w:val="20"/>
      <w:vertAlign w:val="superscript"/>
      <w:lang w:eastAsia="en-US"/>
    </w:rPr>
  </w:style>
  <w:style w:type="paragraph" w:styleId="NormalWeb">
    <w:name w:val="Normal (Web)"/>
    <w:basedOn w:val="Normal"/>
    <w:uiPriority w:val="99"/>
    <w:semiHidden/>
    <w:unhideWhenUsed/>
    <w:rPr>
      <w:sz w:val="24"/>
      <w:szCs w:val="24"/>
    </w:rPr>
  </w:style>
  <w:style w:type="paragraph" w:customStyle="1" w:styleId="Nidung">
    <w:name w:val="Nội dung"/>
    <w:basedOn w:val="Normal"/>
    <w:qFormat/>
    <w:pPr>
      <w:spacing w:after="0" w:line="264" w:lineRule="auto"/>
      <w:ind w:firstLine="680"/>
      <w:jc w:val="both"/>
    </w:pPr>
    <w:rPr>
      <w:rFonts w:eastAsia="Calibri"/>
      <w:kern w:val="2"/>
      <w:szCs w:val="28"/>
      <w:lang w:val="de-DE" w:eastAsia="en-US"/>
    </w:rPr>
  </w:style>
  <w:style w:type="character" w:customStyle="1" w:styleId="text">
    <w:name w:val="text"/>
    <w:basedOn w:val="DefaultParagraphFont"/>
  </w:style>
  <w:style w:type="character" w:styleId="Strong">
    <w:name w:val="Strong"/>
    <w:uiPriority w:val="22"/>
    <w:qFormat/>
    <w:rPr>
      <w:b/>
      <w:bCs/>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cs="Times New Roman"/>
      <w:sz w:val="28"/>
    </w:rPr>
  </w:style>
  <w:style w:type="paragraph" w:styleId="Heading1">
    <w:name w:val="heading 1"/>
    <w:basedOn w:val="Normal"/>
    <w:next w:val="Normal"/>
    <w:link w:val="Heading1Char"/>
    <w:uiPriority w:val="9"/>
    <w:qFormat/>
    <w:pPr>
      <w:spacing w:before="40" w:after="40" w:line="264" w:lineRule="auto"/>
      <w:ind w:firstLine="720"/>
      <w:jc w:val="both"/>
      <w:outlineLvl w:val="0"/>
    </w:pPr>
    <w:rPr>
      <w:rFonts w:eastAsia="Calibri"/>
      <w:b/>
      <w:szCs w:val="28"/>
      <w:lang w:eastAsia="en-US"/>
    </w:rPr>
  </w:style>
  <w:style w:type="paragraph" w:styleId="Heading2">
    <w:name w:val="heading 2"/>
    <w:basedOn w:val="Heading1"/>
    <w:next w:val="Normal"/>
    <w:link w:val="Heading2Char"/>
    <w:uiPriority w:val="9"/>
    <w:unhideWhenUsed/>
    <w:qFormat/>
    <w:pPr>
      <w:outlineLvl w:val="1"/>
    </w:pPr>
  </w:style>
  <w:style w:type="paragraph" w:styleId="Heading3">
    <w:name w:val="heading 3"/>
    <w:basedOn w:val="Heading2"/>
    <w:next w:val="Normal"/>
    <w:link w:val="Heading3Char"/>
    <w:uiPriority w:val="9"/>
    <w:unhideWhenUsed/>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imes New Roman" w:eastAsia="Calibri" w:hAnsi="Times New Roman" w:cs="Times New Roman"/>
      <w:b/>
      <w:sz w:val="28"/>
      <w:szCs w:val="28"/>
      <w:lang w:eastAsia="en-US"/>
    </w:rPr>
  </w:style>
  <w:style w:type="character" w:customStyle="1" w:styleId="Heading2Char">
    <w:name w:val="Heading 2 Char"/>
    <w:basedOn w:val="DefaultParagraphFont"/>
    <w:link w:val="Heading2"/>
    <w:uiPriority w:val="9"/>
    <w:rPr>
      <w:rFonts w:ascii="Times New Roman" w:eastAsia="Calibri" w:hAnsi="Times New Roman" w:cs="Times New Roman"/>
      <w:b/>
      <w:sz w:val="28"/>
      <w:szCs w:val="28"/>
      <w:lang w:eastAsia="en-US"/>
    </w:rPr>
  </w:style>
  <w:style w:type="character" w:customStyle="1" w:styleId="Heading3Char">
    <w:name w:val="Heading 3 Char"/>
    <w:basedOn w:val="DefaultParagraphFont"/>
    <w:link w:val="Heading3"/>
    <w:uiPriority w:val="9"/>
    <w:rPr>
      <w:rFonts w:ascii="Times New Roman" w:eastAsia="Calibri" w:hAnsi="Times New Roman" w:cs="Times New Roman"/>
      <w:b/>
      <w:sz w:val="28"/>
      <w:szCs w:val="28"/>
      <w:lang w:eastAsia="en-US"/>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rPr>
      <w:rFonts w:ascii="Times New Roman" w:hAnsi="Times New Roman" w:cs="Times New Roman"/>
      <w:sz w:val="28"/>
    </w:rPr>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rPr>
      <w:rFonts w:ascii="Times New Roman" w:hAnsi="Times New Roman" w:cs="Times New Roman"/>
      <w:sz w:val="28"/>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Char Char,ft,C"/>
    <w:basedOn w:val="Normal"/>
    <w:link w:val="FootnoteTextChar"/>
    <w:uiPriority w:val="99"/>
    <w:unhideWhenUsed/>
    <w:qFormat/>
    <w:pPr>
      <w:spacing w:after="0" w:line="240" w:lineRule="auto"/>
    </w:pPr>
    <w:rPr>
      <w:rFonts w:eastAsia="Times New Roman"/>
      <w:sz w:val="20"/>
      <w:szCs w:val="20"/>
      <w:lang w:eastAsia="en-US"/>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qFormat/>
    <w:rPr>
      <w:rFonts w:ascii="Times New Roman" w:eastAsia="Times New Roman" w:hAnsi="Times New Roman" w:cs="Times New Roman"/>
      <w:sz w:val="20"/>
      <w:szCs w:val="20"/>
      <w:lang w:eastAsia="en-US"/>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SUPERS,R,10 p,f1,Re,1"/>
    <w:basedOn w:val="DefaultParagraphFont"/>
    <w:link w:val="CharChar1CharCharCharChar1CharCharCharCharCharCharCharChar"/>
    <w:uiPriority w:val="99"/>
    <w:unhideWhenUsed/>
    <w:qFormat/>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pPr>
      <w:keepNext/>
      <w:spacing w:line="240" w:lineRule="exact"/>
    </w:pPr>
    <w:rPr>
      <w:rFonts w:asciiTheme="minorHAnsi" w:hAnsiTheme="minorHAnsi" w:cstheme="minorBidi"/>
      <w:sz w:val="22"/>
      <w:vertAlign w:val="superscript"/>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styleId="Revision">
    <w:name w:val="Revision"/>
    <w:hidden/>
    <w:uiPriority w:val="99"/>
    <w:semiHidden/>
    <w:pPr>
      <w:spacing w:after="0" w:line="240" w:lineRule="auto"/>
    </w:pPr>
    <w:rPr>
      <w:rFonts w:ascii="Times New Roman" w:hAnsi="Times New Roman" w:cs="Times New Roman"/>
      <w:sz w:val="28"/>
    </w:rPr>
  </w:style>
  <w:style w:type="paragraph" w:customStyle="1" w:styleId="content">
    <w:name w:val="content"/>
    <w:basedOn w:val="Normal"/>
    <w:pPr>
      <w:spacing w:before="100" w:after="100" w:line="240" w:lineRule="auto"/>
      <w:ind w:left="100" w:right="100"/>
    </w:pPr>
    <w:rPr>
      <w:rFonts w:ascii="Arial" w:eastAsia="Times New Roman" w:hAnsi="Arial" w:cs="Arial"/>
      <w:sz w:val="18"/>
      <w:szCs w:val="18"/>
      <w:lang w:val="vi-VN" w:eastAsia="vi-VN"/>
    </w:rPr>
  </w:style>
  <w:style w:type="character" w:customStyle="1" w:styleId="fontstyle01">
    <w:name w:val="fontstyle01"/>
    <w:rPr>
      <w:rFonts w:ascii="TimesNewRomanPSMT" w:hAnsi="TimesNewRomanPSMT" w:hint="default"/>
      <w:b w:val="0"/>
      <w:bCs w:val="0"/>
      <w:i w:val="0"/>
      <w:iCs w:val="0"/>
      <w:color w:val="000000"/>
      <w:sz w:val="24"/>
      <w:szCs w:val="24"/>
    </w:rPr>
  </w:style>
  <w:style w:type="paragraph" w:customStyle="1" w:styleId="Footnotetext13pt">
    <w:name w:val="Footnote text + 13 pt"/>
    <w:basedOn w:val="Normal"/>
    <w:next w:val="Normal"/>
    <w:qFormat/>
    <w:pPr>
      <w:spacing w:line="240" w:lineRule="exact"/>
    </w:pPr>
    <w:rPr>
      <w:rFonts w:eastAsia="Times New Roman"/>
      <w:sz w:val="20"/>
      <w:szCs w:val="20"/>
      <w:vertAlign w:val="superscript"/>
      <w:lang w:eastAsia="en-US"/>
    </w:rPr>
  </w:style>
  <w:style w:type="paragraph" w:styleId="NormalWeb">
    <w:name w:val="Normal (Web)"/>
    <w:basedOn w:val="Normal"/>
    <w:uiPriority w:val="99"/>
    <w:semiHidden/>
    <w:unhideWhenUsed/>
    <w:rPr>
      <w:sz w:val="24"/>
      <w:szCs w:val="24"/>
    </w:rPr>
  </w:style>
  <w:style w:type="paragraph" w:customStyle="1" w:styleId="Nidung">
    <w:name w:val="Nội dung"/>
    <w:basedOn w:val="Normal"/>
    <w:qFormat/>
    <w:pPr>
      <w:spacing w:after="0" w:line="264" w:lineRule="auto"/>
      <w:ind w:firstLine="680"/>
      <w:jc w:val="both"/>
    </w:pPr>
    <w:rPr>
      <w:rFonts w:eastAsia="Calibri"/>
      <w:kern w:val="2"/>
      <w:szCs w:val="28"/>
      <w:lang w:val="de-DE" w:eastAsia="en-US"/>
    </w:rPr>
  </w:style>
  <w:style w:type="character" w:customStyle="1" w:styleId="text">
    <w:name w:val="text"/>
    <w:basedOn w:val="DefaultParagraphFont"/>
  </w:style>
  <w:style w:type="character" w:styleId="Strong">
    <w:name w:val="Strong"/>
    <w:uiPriority w:val="22"/>
    <w:qFormat/>
    <w:rPr>
      <w:b/>
      <w:bCs/>
    </w:rPr>
  </w:style>
  <w:style w:type="paragraph" w:styleId="ListParagraph">
    <w:name w:val="List Paragraph"/>
    <w:basedOn w:val="Normal"/>
    <w:uiPriority w:val="34"/>
    <w:qFormat/>
    <w:pPr>
      <w:ind w:left="720"/>
      <w:contextualSpacing/>
    </w:pPr>
  </w:style>
  <w:style w:type="table" w:styleId="TableGrid">
    <w:name w:val="Table Grid"/>
    <w:basedOn w:val="TableNormal"/>
    <w:uiPriority w:val="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71767">
      <w:bodyDiv w:val="1"/>
      <w:marLeft w:val="0"/>
      <w:marRight w:val="0"/>
      <w:marTop w:val="0"/>
      <w:marBottom w:val="0"/>
      <w:divBdr>
        <w:top w:val="none" w:sz="0" w:space="0" w:color="auto"/>
        <w:left w:val="none" w:sz="0" w:space="0" w:color="auto"/>
        <w:bottom w:val="none" w:sz="0" w:space="0" w:color="auto"/>
        <w:right w:val="none" w:sz="0" w:space="0" w:color="auto"/>
      </w:divBdr>
    </w:div>
    <w:div w:id="160202739">
      <w:bodyDiv w:val="1"/>
      <w:marLeft w:val="0"/>
      <w:marRight w:val="0"/>
      <w:marTop w:val="0"/>
      <w:marBottom w:val="0"/>
      <w:divBdr>
        <w:top w:val="none" w:sz="0" w:space="0" w:color="auto"/>
        <w:left w:val="none" w:sz="0" w:space="0" w:color="auto"/>
        <w:bottom w:val="none" w:sz="0" w:space="0" w:color="auto"/>
        <w:right w:val="none" w:sz="0" w:space="0" w:color="auto"/>
      </w:divBdr>
    </w:div>
    <w:div w:id="249974456">
      <w:bodyDiv w:val="1"/>
      <w:marLeft w:val="0"/>
      <w:marRight w:val="0"/>
      <w:marTop w:val="0"/>
      <w:marBottom w:val="0"/>
      <w:divBdr>
        <w:top w:val="none" w:sz="0" w:space="0" w:color="auto"/>
        <w:left w:val="none" w:sz="0" w:space="0" w:color="auto"/>
        <w:bottom w:val="none" w:sz="0" w:space="0" w:color="auto"/>
        <w:right w:val="none" w:sz="0" w:space="0" w:color="auto"/>
      </w:divBdr>
    </w:div>
    <w:div w:id="599409699">
      <w:bodyDiv w:val="1"/>
      <w:marLeft w:val="0"/>
      <w:marRight w:val="0"/>
      <w:marTop w:val="0"/>
      <w:marBottom w:val="0"/>
      <w:divBdr>
        <w:top w:val="none" w:sz="0" w:space="0" w:color="auto"/>
        <w:left w:val="none" w:sz="0" w:space="0" w:color="auto"/>
        <w:bottom w:val="none" w:sz="0" w:space="0" w:color="auto"/>
        <w:right w:val="none" w:sz="0" w:space="0" w:color="auto"/>
      </w:divBdr>
    </w:div>
    <w:div w:id="673924613">
      <w:bodyDiv w:val="1"/>
      <w:marLeft w:val="0"/>
      <w:marRight w:val="0"/>
      <w:marTop w:val="0"/>
      <w:marBottom w:val="0"/>
      <w:divBdr>
        <w:top w:val="none" w:sz="0" w:space="0" w:color="auto"/>
        <w:left w:val="none" w:sz="0" w:space="0" w:color="auto"/>
        <w:bottom w:val="none" w:sz="0" w:space="0" w:color="auto"/>
        <w:right w:val="none" w:sz="0" w:space="0" w:color="auto"/>
      </w:divBdr>
    </w:div>
    <w:div w:id="1384405308">
      <w:bodyDiv w:val="1"/>
      <w:marLeft w:val="0"/>
      <w:marRight w:val="0"/>
      <w:marTop w:val="0"/>
      <w:marBottom w:val="0"/>
      <w:divBdr>
        <w:top w:val="none" w:sz="0" w:space="0" w:color="auto"/>
        <w:left w:val="none" w:sz="0" w:space="0" w:color="auto"/>
        <w:bottom w:val="none" w:sz="0" w:space="0" w:color="auto"/>
        <w:right w:val="none" w:sz="0" w:space="0" w:color="auto"/>
      </w:divBdr>
    </w:div>
    <w:div w:id="1508597633">
      <w:bodyDiv w:val="1"/>
      <w:marLeft w:val="0"/>
      <w:marRight w:val="0"/>
      <w:marTop w:val="0"/>
      <w:marBottom w:val="0"/>
      <w:divBdr>
        <w:top w:val="none" w:sz="0" w:space="0" w:color="auto"/>
        <w:left w:val="none" w:sz="0" w:space="0" w:color="auto"/>
        <w:bottom w:val="none" w:sz="0" w:space="0" w:color="auto"/>
        <w:right w:val="none" w:sz="0" w:space="0" w:color="auto"/>
      </w:divBdr>
    </w:div>
    <w:div w:id="1511986449">
      <w:bodyDiv w:val="1"/>
      <w:marLeft w:val="0"/>
      <w:marRight w:val="0"/>
      <w:marTop w:val="0"/>
      <w:marBottom w:val="0"/>
      <w:divBdr>
        <w:top w:val="none" w:sz="0" w:space="0" w:color="auto"/>
        <w:left w:val="none" w:sz="0" w:space="0" w:color="auto"/>
        <w:bottom w:val="none" w:sz="0" w:space="0" w:color="auto"/>
        <w:right w:val="none" w:sz="0" w:space="0" w:color="auto"/>
      </w:divBdr>
    </w:div>
    <w:div w:id="18756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6FE1F-548C-45B2-92F6-FCDAAAA1C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6871</Words>
  <Characters>39168</Characters>
  <Application>Microsoft Office Word</Application>
  <DocSecurity>0</DocSecurity>
  <Lines>326</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Vanxuan</dc:creator>
  <cp:lastModifiedBy>MTMQ</cp:lastModifiedBy>
  <cp:revision>4</cp:revision>
  <dcterms:created xsi:type="dcterms:W3CDTF">2026-01-05T07:46:00Z</dcterms:created>
  <dcterms:modified xsi:type="dcterms:W3CDTF">2026-01-06T06:45:00Z</dcterms:modified>
</cp:coreProperties>
</file>